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14" w:rsidRDefault="00793614" w:rsidP="00947223">
      <w:pPr>
        <w:spacing w:before="240"/>
      </w:pPr>
      <w:r>
        <w:t xml:space="preserve">UAS has strategies for pooling one-time funds which can be used for reallocation in support of the overall UAS mission, values and current strategies.  Through this reallocation, UAS is able to implement important initiatives which would otherwise have </w:t>
      </w:r>
      <w:r w:rsidR="00BD1EA1">
        <w:t>little</w:t>
      </w:r>
      <w:r>
        <w:t xml:space="preserve"> </w:t>
      </w:r>
      <w:r w:rsidR="00B66DB7">
        <w:t>possibility for funding. Significant examples include UAS Food Services startup, completion of the John R Pugh Residence Hall, the Whitehead and NSRL remodel projects and strategic marketing and accreditation efforts.</w:t>
      </w:r>
    </w:p>
    <w:p w:rsidR="00793614" w:rsidRDefault="00793614" w:rsidP="00793614">
      <w:pPr>
        <w:pStyle w:val="Heading2"/>
      </w:pPr>
      <w:r>
        <w:t>Chancellor’s Reallocation Request Process (Juneau Campus)</w:t>
      </w:r>
    </w:p>
    <w:p w:rsidR="00793614" w:rsidRDefault="00793614" w:rsidP="00793614">
      <w:r>
        <w:t>On the Juneau campus, departments submit written requests to the Chancellor t</w:t>
      </w:r>
      <w:r w:rsidR="00307B1E">
        <w:t>hrough their executive (Provost/</w:t>
      </w:r>
      <w:r>
        <w:t>Vice Chancellor).  Requests a</w:t>
      </w:r>
      <w:r w:rsidR="00947223">
        <w:t>ddress the following questions:</w:t>
      </w:r>
    </w:p>
    <w:p w:rsidR="00793614" w:rsidRDefault="00E82FF8" w:rsidP="00793614">
      <w:pPr>
        <w:pStyle w:val="ListParagraph"/>
        <w:numPr>
          <w:ilvl w:val="0"/>
          <w:numId w:val="1"/>
        </w:numPr>
      </w:pPr>
      <w:r>
        <w:t xml:space="preserve">Total </w:t>
      </w:r>
      <w:r w:rsidR="00793614">
        <w:t>one-time funding requested</w:t>
      </w:r>
    </w:p>
    <w:p w:rsidR="00793614" w:rsidRDefault="00793614" w:rsidP="00793614">
      <w:pPr>
        <w:pStyle w:val="ListParagraph"/>
        <w:numPr>
          <w:ilvl w:val="0"/>
          <w:numId w:val="1"/>
        </w:numPr>
      </w:pPr>
      <w:r>
        <w:t>Why the request cannot be accommodated through other funding strategies</w:t>
      </w:r>
    </w:p>
    <w:p w:rsidR="00793614" w:rsidRDefault="00793614" w:rsidP="00793614">
      <w:pPr>
        <w:pStyle w:val="ListParagraph"/>
        <w:numPr>
          <w:ilvl w:val="0"/>
          <w:numId w:val="1"/>
        </w:numPr>
      </w:pPr>
      <w:r>
        <w:t>How the request will support the UAS mission, values and current strategies</w:t>
      </w:r>
    </w:p>
    <w:p w:rsidR="00793614" w:rsidRDefault="00793614" w:rsidP="00793614">
      <w:pPr>
        <w:pStyle w:val="ListParagraph"/>
        <w:numPr>
          <w:ilvl w:val="0"/>
          <w:numId w:val="1"/>
        </w:numPr>
      </w:pPr>
      <w:r>
        <w:t>The benefit of funding</w:t>
      </w:r>
    </w:p>
    <w:p w:rsidR="00793614" w:rsidRDefault="00793614" w:rsidP="00793614">
      <w:pPr>
        <w:pStyle w:val="ListParagraph"/>
        <w:numPr>
          <w:ilvl w:val="0"/>
          <w:numId w:val="1"/>
        </w:numPr>
      </w:pPr>
      <w:r>
        <w:t>The risk/impact of not funding</w:t>
      </w:r>
    </w:p>
    <w:p w:rsidR="00793614" w:rsidRDefault="00E82FF8" w:rsidP="00E82FF8">
      <w:pPr>
        <w:pStyle w:val="Heading2"/>
      </w:pPr>
      <w:r>
        <w:t>FY16 Strategic Priorities</w:t>
      </w:r>
    </w:p>
    <w:p w:rsidR="00E82FF8" w:rsidRDefault="00E82FF8" w:rsidP="00E82FF8">
      <w:r>
        <w:t>The current funding crisis dictates that the top priority for UAS is one-time funding strategies which either directly increase revenues or reduce ongoing operating costs.  Beyond this, the recent strategic planning retreat identified the following 6 priorities:</w:t>
      </w:r>
      <w:bookmarkStart w:id="0" w:name="_GoBack"/>
      <w:bookmarkEnd w:id="0"/>
    </w:p>
    <w:p w:rsidR="00E82FF8" w:rsidRDefault="00E82FF8" w:rsidP="00E82FF8">
      <w:pPr>
        <w:pStyle w:val="ListParagraph"/>
        <w:numPr>
          <w:ilvl w:val="0"/>
          <w:numId w:val="2"/>
        </w:numPr>
      </w:pPr>
      <w:r>
        <w:t>Increase enrollment and retention through strategic marketing and enrollment management</w:t>
      </w:r>
    </w:p>
    <w:p w:rsidR="00E82FF8" w:rsidRDefault="00E82FF8" w:rsidP="00E82FF8">
      <w:pPr>
        <w:pStyle w:val="ListParagraph"/>
        <w:numPr>
          <w:ilvl w:val="0"/>
          <w:numId w:val="2"/>
        </w:numPr>
      </w:pPr>
      <w:r>
        <w:t>Review and improve UAS information technology programs and services</w:t>
      </w:r>
    </w:p>
    <w:p w:rsidR="00E82FF8" w:rsidRDefault="00E82FF8" w:rsidP="00E82FF8">
      <w:pPr>
        <w:pStyle w:val="ListParagraph"/>
        <w:numPr>
          <w:ilvl w:val="0"/>
          <w:numId w:val="2"/>
        </w:numPr>
      </w:pPr>
      <w:r>
        <w:t>Expand faculty support in instructional design and technology-enhanced learning</w:t>
      </w:r>
    </w:p>
    <w:p w:rsidR="00E82FF8" w:rsidRDefault="00E82FF8" w:rsidP="00E82FF8">
      <w:pPr>
        <w:pStyle w:val="ListParagraph"/>
        <w:numPr>
          <w:ilvl w:val="0"/>
          <w:numId w:val="2"/>
        </w:numPr>
      </w:pPr>
      <w:r>
        <w:t>Enhance UAS learning communities and high impact learning opportunities</w:t>
      </w:r>
    </w:p>
    <w:p w:rsidR="00E82FF8" w:rsidRDefault="00E82FF8" w:rsidP="00E82FF8">
      <w:pPr>
        <w:pStyle w:val="ListParagraph"/>
        <w:numPr>
          <w:ilvl w:val="0"/>
          <w:numId w:val="2"/>
        </w:numPr>
      </w:pPr>
      <w:r>
        <w:t>Encourage and enhance diversity in employment practices and in our curriculum</w:t>
      </w:r>
    </w:p>
    <w:p w:rsidR="00E82FF8" w:rsidRDefault="00E82FF8" w:rsidP="00E82FF8">
      <w:pPr>
        <w:pStyle w:val="ListParagraph"/>
        <w:numPr>
          <w:ilvl w:val="0"/>
          <w:numId w:val="2"/>
        </w:numPr>
      </w:pPr>
      <w:r>
        <w:t>Strengthen university safety practices and emergency readiness</w:t>
      </w:r>
    </w:p>
    <w:p w:rsidR="00B66DB7" w:rsidRDefault="00793614" w:rsidP="00793614">
      <w:pPr>
        <w:pStyle w:val="Heading2"/>
      </w:pPr>
      <w:r>
        <w:t>Juneau Campus UFB Allocation (to date):</w:t>
      </w:r>
    </w:p>
    <w:p w:rsidR="00793614" w:rsidRPr="00B66DB7" w:rsidRDefault="00B66DB7" w:rsidP="00B66DB7">
      <w:pPr>
        <w:rPr>
          <w:b/>
        </w:rPr>
      </w:pPr>
      <w:r w:rsidRPr="00B66DB7">
        <w:rPr>
          <w:b/>
        </w:rPr>
        <w:t xml:space="preserve">NOTE: UFB funds </w:t>
      </w:r>
      <w:r w:rsidR="00947223">
        <w:rPr>
          <w:b/>
        </w:rPr>
        <w:t xml:space="preserve">are one-time only, and </w:t>
      </w:r>
      <w:r w:rsidRPr="00307B1E">
        <w:rPr>
          <w:b/>
          <w:u w:val="single"/>
        </w:rPr>
        <w:t>must</w:t>
      </w:r>
      <w:r w:rsidRPr="00B66DB7">
        <w:rPr>
          <w:b/>
        </w:rPr>
        <w:t xml:space="preserve"> be fully expended in the current fiscal year.</w:t>
      </w:r>
      <w:r w:rsidR="00793614" w:rsidRPr="00B66DB7">
        <w:rPr>
          <w:b/>
        </w:rPr>
        <w:fldChar w:fldCharType="begin"/>
      </w:r>
      <w:r w:rsidR="00793614" w:rsidRPr="00B66DB7">
        <w:rPr>
          <w:b/>
        </w:rPr>
        <w:instrText xml:space="preserve"> LINK Excel.Sheet.12 "\\\\sync-al\\files$\\JV-880586\\maciri\\My Documents\\VC\\FY16 UFB.xlsx" "Sheet6!R3C1:R16C3" \a \f 4 \h </w:instrText>
      </w:r>
      <w:r w:rsidR="00E82FF8" w:rsidRPr="00B66DB7">
        <w:rPr>
          <w:b/>
        </w:rPr>
        <w:instrText xml:space="preserve"> \* MERGEFORMAT </w:instrText>
      </w:r>
      <w:r w:rsidR="00793614" w:rsidRPr="00B66DB7">
        <w:rPr>
          <w:b/>
        </w:rPr>
        <w:fldChar w:fldCharType="separate"/>
      </w:r>
    </w:p>
    <w:tbl>
      <w:tblPr>
        <w:tblW w:w="8400" w:type="dxa"/>
        <w:tblInd w:w="93" w:type="dxa"/>
        <w:tblLook w:val="04A0" w:firstRow="1" w:lastRow="0" w:firstColumn="1" w:lastColumn="0" w:noHBand="0" w:noVBand="1"/>
      </w:tblPr>
      <w:tblGrid>
        <w:gridCol w:w="1635"/>
        <w:gridCol w:w="4160"/>
        <w:gridCol w:w="2605"/>
      </w:tblGrid>
      <w:tr w:rsidR="00793614" w:rsidRPr="00793614" w:rsidTr="00E82FF8">
        <w:trPr>
          <w:divId w:val="897592639"/>
          <w:trHeight w:val="300"/>
        </w:trPr>
        <w:tc>
          <w:tcPr>
            <w:tcW w:w="1635" w:type="dxa"/>
            <w:tcBorders>
              <w:top w:val="single" w:sz="8" w:space="0" w:color="366092"/>
              <w:left w:val="nil"/>
              <w:bottom w:val="nil"/>
              <w:right w:val="nil"/>
            </w:tcBorders>
            <w:shd w:val="clear" w:color="4F81BD" w:fill="4F81BD"/>
            <w:noWrap/>
            <w:vAlign w:val="bottom"/>
            <w:hideMark/>
          </w:tcPr>
          <w:p w:rsidR="00793614" w:rsidRPr="00793614" w:rsidRDefault="00793614" w:rsidP="00793614">
            <w:pPr>
              <w:spacing w:after="0" w:line="240" w:lineRule="auto"/>
              <w:rPr>
                <w:rFonts w:ascii="Calibri" w:eastAsia="Times New Roman" w:hAnsi="Calibri" w:cs="Times New Roman"/>
                <w:b/>
                <w:bCs/>
                <w:color w:val="FFFFFF"/>
              </w:rPr>
            </w:pPr>
            <w:r w:rsidRPr="00793614">
              <w:rPr>
                <w:rFonts w:ascii="Calibri" w:eastAsia="Times New Roman" w:hAnsi="Calibri" w:cs="Times New Roman"/>
                <w:b/>
                <w:bCs/>
                <w:color w:val="FFFFFF"/>
              </w:rPr>
              <w:t>Category</w:t>
            </w:r>
          </w:p>
        </w:tc>
        <w:tc>
          <w:tcPr>
            <w:tcW w:w="4160" w:type="dxa"/>
            <w:tcBorders>
              <w:top w:val="single" w:sz="8" w:space="0" w:color="366092"/>
              <w:left w:val="nil"/>
              <w:bottom w:val="nil"/>
              <w:right w:val="nil"/>
            </w:tcBorders>
            <w:shd w:val="clear" w:color="4F81BD" w:fill="4F81BD"/>
            <w:noWrap/>
            <w:vAlign w:val="bottom"/>
            <w:hideMark/>
          </w:tcPr>
          <w:p w:rsidR="00793614" w:rsidRPr="00793614" w:rsidRDefault="00793614" w:rsidP="00793614">
            <w:pPr>
              <w:spacing w:after="0" w:line="240" w:lineRule="auto"/>
              <w:rPr>
                <w:rFonts w:ascii="Calibri" w:eastAsia="Times New Roman" w:hAnsi="Calibri" w:cs="Times New Roman"/>
                <w:b/>
                <w:bCs/>
                <w:color w:val="FFFFFF"/>
              </w:rPr>
            </w:pPr>
            <w:r w:rsidRPr="00793614">
              <w:rPr>
                <w:rFonts w:ascii="Calibri" w:eastAsia="Times New Roman" w:hAnsi="Calibri" w:cs="Times New Roman"/>
                <w:b/>
                <w:bCs/>
                <w:color w:val="FFFFFF"/>
              </w:rPr>
              <w:t>Strategy</w:t>
            </w:r>
          </w:p>
        </w:tc>
        <w:tc>
          <w:tcPr>
            <w:tcW w:w="2605" w:type="dxa"/>
            <w:tcBorders>
              <w:top w:val="single" w:sz="8" w:space="0" w:color="366092"/>
              <w:left w:val="nil"/>
              <w:bottom w:val="nil"/>
              <w:right w:val="nil"/>
            </w:tcBorders>
            <w:shd w:val="clear" w:color="4F81BD" w:fill="4F81BD"/>
            <w:noWrap/>
            <w:vAlign w:val="bottom"/>
            <w:hideMark/>
          </w:tcPr>
          <w:p w:rsidR="00793614" w:rsidRPr="00793614" w:rsidRDefault="00793614" w:rsidP="00793614">
            <w:pPr>
              <w:spacing w:after="0" w:line="240" w:lineRule="auto"/>
              <w:rPr>
                <w:rFonts w:ascii="Calibri" w:eastAsia="Times New Roman" w:hAnsi="Calibri" w:cs="Times New Roman"/>
                <w:b/>
                <w:bCs/>
                <w:color w:val="FFFFFF"/>
              </w:rPr>
            </w:pPr>
            <w:r w:rsidRPr="00793614">
              <w:rPr>
                <w:rFonts w:ascii="Calibri" w:eastAsia="Times New Roman" w:hAnsi="Calibri" w:cs="Times New Roman"/>
                <w:b/>
                <w:bCs/>
                <w:color w:val="FFFFFF"/>
              </w:rPr>
              <w:t>Sum of Cost</w:t>
            </w:r>
          </w:p>
        </w:tc>
      </w:tr>
      <w:tr w:rsidR="00793614" w:rsidRPr="00793614" w:rsidTr="00E82FF8">
        <w:trPr>
          <w:divId w:val="897592639"/>
          <w:trHeight w:val="300"/>
        </w:trPr>
        <w:tc>
          <w:tcPr>
            <w:tcW w:w="1635" w:type="dxa"/>
            <w:tcBorders>
              <w:top w:val="nil"/>
              <w:left w:val="nil"/>
              <w:bottom w:val="nil"/>
              <w:right w:val="nil"/>
            </w:tcBorders>
            <w:shd w:val="clear" w:color="DCE6F1" w:fill="DCE6F1"/>
            <w:noWrap/>
            <w:vAlign w:val="bottom"/>
            <w:hideMark/>
          </w:tcPr>
          <w:p w:rsidR="00793614" w:rsidRPr="00793614" w:rsidRDefault="00793614" w:rsidP="00793614">
            <w:pPr>
              <w:spacing w:after="0" w:line="240" w:lineRule="auto"/>
              <w:rPr>
                <w:rFonts w:ascii="Calibri" w:eastAsia="Times New Roman" w:hAnsi="Calibri" w:cs="Times New Roman"/>
                <w:b/>
                <w:bCs/>
                <w:color w:val="000000"/>
              </w:rPr>
            </w:pPr>
            <w:r w:rsidRPr="00793614">
              <w:rPr>
                <w:rFonts w:ascii="Calibri" w:eastAsia="Times New Roman" w:hAnsi="Calibri" w:cs="Times New Roman"/>
                <w:b/>
                <w:bCs/>
                <w:color w:val="000000"/>
              </w:rPr>
              <w:t>Designated</w:t>
            </w:r>
          </w:p>
        </w:tc>
        <w:tc>
          <w:tcPr>
            <w:tcW w:w="4160" w:type="dxa"/>
            <w:tcBorders>
              <w:top w:val="nil"/>
              <w:left w:val="nil"/>
              <w:bottom w:val="nil"/>
              <w:right w:val="nil"/>
            </w:tcBorders>
            <w:shd w:val="clear" w:color="DCE6F1" w:fill="DCE6F1"/>
            <w:noWrap/>
            <w:vAlign w:val="bottom"/>
            <w:hideMark/>
          </w:tcPr>
          <w:p w:rsidR="00793614" w:rsidRPr="00793614" w:rsidRDefault="00793614" w:rsidP="00793614">
            <w:pPr>
              <w:spacing w:after="0" w:line="240" w:lineRule="auto"/>
              <w:rPr>
                <w:rFonts w:ascii="Calibri" w:eastAsia="Times New Roman" w:hAnsi="Calibri" w:cs="Times New Roman"/>
                <w:b/>
                <w:bCs/>
                <w:color w:val="000000"/>
              </w:rPr>
            </w:pPr>
          </w:p>
        </w:tc>
        <w:tc>
          <w:tcPr>
            <w:tcW w:w="2605" w:type="dxa"/>
            <w:tcBorders>
              <w:top w:val="nil"/>
              <w:left w:val="nil"/>
              <w:bottom w:val="nil"/>
              <w:right w:val="nil"/>
            </w:tcBorders>
            <w:shd w:val="clear" w:color="DCE6F1" w:fill="DCE6F1"/>
            <w:noWrap/>
            <w:vAlign w:val="bottom"/>
            <w:hideMark/>
          </w:tcPr>
          <w:p w:rsidR="00793614" w:rsidRPr="00793614" w:rsidRDefault="00793614" w:rsidP="00793614">
            <w:pPr>
              <w:spacing w:after="0" w:line="240" w:lineRule="auto"/>
              <w:rPr>
                <w:rFonts w:ascii="Calibri" w:eastAsia="Times New Roman" w:hAnsi="Calibri" w:cs="Times New Roman"/>
                <w:b/>
                <w:bCs/>
                <w:color w:val="000000"/>
              </w:rPr>
            </w:pPr>
          </w:p>
        </w:tc>
      </w:tr>
      <w:tr w:rsidR="00793614" w:rsidRPr="00793614" w:rsidTr="00E82FF8">
        <w:trPr>
          <w:divId w:val="897592639"/>
          <w:trHeight w:val="300"/>
        </w:trPr>
        <w:tc>
          <w:tcPr>
            <w:tcW w:w="1635" w:type="dxa"/>
            <w:tcBorders>
              <w:top w:val="nil"/>
              <w:left w:val="nil"/>
              <w:bottom w:val="nil"/>
              <w:right w:val="nil"/>
            </w:tcBorders>
            <w:shd w:val="clear" w:color="auto" w:fill="auto"/>
            <w:noWrap/>
            <w:vAlign w:val="bottom"/>
            <w:hideMark/>
          </w:tcPr>
          <w:p w:rsidR="00793614" w:rsidRPr="00793614" w:rsidRDefault="00793614" w:rsidP="00793614">
            <w:pPr>
              <w:spacing w:after="0" w:line="240" w:lineRule="auto"/>
              <w:rPr>
                <w:rFonts w:ascii="Calibri" w:eastAsia="Times New Roman" w:hAnsi="Calibri" w:cs="Times New Roman"/>
                <w:color w:val="000000"/>
              </w:rPr>
            </w:pPr>
          </w:p>
        </w:tc>
        <w:tc>
          <w:tcPr>
            <w:tcW w:w="4160" w:type="dxa"/>
            <w:tcBorders>
              <w:top w:val="nil"/>
              <w:left w:val="nil"/>
              <w:bottom w:val="nil"/>
              <w:right w:val="nil"/>
            </w:tcBorders>
            <w:shd w:val="clear" w:color="auto" w:fill="auto"/>
            <w:noWrap/>
            <w:vAlign w:val="bottom"/>
            <w:hideMark/>
          </w:tcPr>
          <w:p w:rsidR="00793614" w:rsidRPr="00793614" w:rsidRDefault="00793614" w:rsidP="00793614">
            <w:pPr>
              <w:spacing w:after="0" w:line="240" w:lineRule="auto"/>
              <w:rPr>
                <w:rFonts w:ascii="Calibri" w:eastAsia="Times New Roman" w:hAnsi="Calibri" w:cs="Times New Roman"/>
                <w:color w:val="000000"/>
              </w:rPr>
            </w:pPr>
            <w:r w:rsidRPr="00793614">
              <w:rPr>
                <w:rFonts w:ascii="Calibri" w:eastAsia="Times New Roman" w:hAnsi="Calibri" w:cs="Times New Roman"/>
                <w:color w:val="000000"/>
              </w:rPr>
              <w:t>Facilities and Infrastructure improvements</w:t>
            </w:r>
          </w:p>
        </w:tc>
        <w:tc>
          <w:tcPr>
            <w:tcW w:w="2605" w:type="dxa"/>
            <w:tcBorders>
              <w:top w:val="nil"/>
              <w:left w:val="nil"/>
              <w:bottom w:val="nil"/>
              <w:right w:val="nil"/>
            </w:tcBorders>
            <w:shd w:val="clear" w:color="auto" w:fill="auto"/>
            <w:noWrap/>
            <w:vAlign w:val="bottom"/>
            <w:hideMark/>
          </w:tcPr>
          <w:p w:rsidR="00793614" w:rsidRPr="00793614" w:rsidRDefault="00793614" w:rsidP="00B66DB7">
            <w:pPr>
              <w:spacing w:after="0" w:line="240" w:lineRule="auto"/>
              <w:rPr>
                <w:rFonts w:ascii="Calibri" w:eastAsia="Times New Roman" w:hAnsi="Calibri" w:cs="Times New Roman"/>
                <w:color w:val="000000"/>
              </w:rPr>
            </w:pPr>
            <w:r w:rsidRPr="00793614">
              <w:rPr>
                <w:rFonts w:ascii="Calibri" w:eastAsia="Times New Roman" w:hAnsi="Calibri" w:cs="Times New Roman"/>
                <w:color w:val="000000"/>
              </w:rPr>
              <w:t xml:space="preserve"> $            619,000 </w:t>
            </w:r>
          </w:p>
        </w:tc>
      </w:tr>
      <w:tr w:rsidR="00793614" w:rsidRPr="00793614" w:rsidTr="00E82FF8">
        <w:trPr>
          <w:divId w:val="897592639"/>
          <w:trHeight w:val="300"/>
        </w:trPr>
        <w:tc>
          <w:tcPr>
            <w:tcW w:w="1635" w:type="dxa"/>
            <w:tcBorders>
              <w:top w:val="nil"/>
              <w:left w:val="nil"/>
              <w:bottom w:val="nil"/>
              <w:right w:val="nil"/>
            </w:tcBorders>
            <w:shd w:val="clear" w:color="auto" w:fill="auto"/>
            <w:noWrap/>
            <w:vAlign w:val="bottom"/>
            <w:hideMark/>
          </w:tcPr>
          <w:p w:rsidR="00793614" w:rsidRPr="00793614" w:rsidRDefault="00793614" w:rsidP="00793614">
            <w:pPr>
              <w:spacing w:after="0" w:line="240" w:lineRule="auto"/>
              <w:rPr>
                <w:rFonts w:ascii="Calibri" w:eastAsia="Times New Roman" w:hAnsi="Calibri" w:cs="Times New Roman"/>
                <w:color w:val="000000"/>
              </w:rPr>
            </w:pPr>
          </w:p>
        </w:tc>
        <w:tc>
          <w:tcPr>
            <w:tcW w:w="4160" w:type="dxa"/>
            <w:tcBorders>
              <w:top w:val="nil"/>
              <w:left w:val="nil"/>
              <w:bottom w:val="nil"/>
              <w:right w:val="nil"/>
            </w:tcBorders>
            <w:shd w:val="clear" w:color="auto" w:fill="auto"/>
            <w:noWrap/>
            <w:vAlign w:val="bottom"/>
            <w:hideMark/>
          </w:tcPr>
          <w:p w:rsidR="00793614" w:rsidRPr="00793614" w:rsidRDefault="00793614" w:rsidP="00793614">
            <w:pPr>
              <w:spacing w:after="0" w:line="240" w:lineRule="auto"/>
              <w:rPr>
                <w:rFonts w:ascii="Calibri" w:eastAsia="Times New Roman" w:hAnsi="Calibri" w:cs="Times New Roman"/>
                <w:color w:val="000000"/>
              </w:rPr>
            </w:pPr>
            <w:r w:rsidRPr="00793614">
              <w:rPr>
                <w:rFonts w:ascii="Calibri" w:eastAsia="Times New Roman" w:hAnsi="Calibri" w:cs="Times New Roman"/>
                <w:color w:val="000000"/>
              </w:rPr>
              <w:t>AKLN</w:t>
            </w:r>
            <w:r w:rsidR="00BD1EA1">
              <w:rPr>
                <w:rFonts w:ascii="Calibri" w:eastAsia="Times New Roman" w:hAnsi="Calibri" w:cs="Times New Roman"/>
                <w:color w:val="000000"/>
              </w:rPr>
              <w:t xml:space="preserve"> FY16 "Bridge" Funding</w:t>
            </w:r>
          </w:p>
        </w:tc>
        <w:tc>
          <w:tcPr>
            <w:tcW w:w="2605" w:type="dxa"/>
            <w:tcBorders>
              <w:top w:val="nil"/>
              <w:left w:val="nil"/>
              <w:bottom w:val="nil"/>
              <w:right w:val="nil"/>
            </w:tcBorders>
            <w:shd w:val="clear" w:color="auto" w:fill="auto"/>
            <w:noWrap/>
            <w:vAlign w:val="bottom"/>
            <w:hideMark/>
          </w:tcPr>
          <w:p w:rsidR="00793614" w:rsidRPr="00793614" w:rsidRDefault="00793614" w:rsidP="00B66DB7">
            <w:pPr>
              <w:spacing w:after="0" w:line="240" w:lineRule="auto"/>
              <w:rPr>
                <w:rFonts w:ascii="Calibri" w:eastAsia="Times New Roman" w:hAnsi="Calibri" w:cs="Times New Roman"/>
                <w:color w:val="000000"/>
              </w:rPr>
            </w:pPr>
            <w:r w:rsidRPr="00793614">
              <w:rPr>
                <w:rFonts w:ascii="Calibri" w:eastAsia="Times New Roman" w:hAnsi="Calibri" w:cs="Times New Roman"/>
                <w:color w:val="000000"/>
              </w:rPr>
              <w:t xml:space="preserve"> $            216,100 </w:t>
            </w:r>
          </w:p>
        </w:tc>
      </w:tr>
      <w:tr w:rsidR="00793614" w:rsidRPr="00793614" w:rsidTr="00E82FF8">
        <w:trPr>
          <w:divId w:val="897592639"/>
          <w:trHeight w:val="300"/>
        </w:trPr>
        <w:tc>
          <w:tcPr>
            <w:tcW w:w="1635" w:type="dxa"/>
            <w:tcBorders>
              <w:top w:val="nil"/>
              <w:left w:val="nil"/>
              <w:bottom w:val="nil"/>
              <w:right w:val="nil"/>
            </w:tcBorders>
            <w:shd w:val="clear" w:color="auto" w:fill="auto"/>
            <w:noWrap/>
            <w:vAlign w:val="bottom"/>
            <w:hideMark/>
          </w:tcPr>
          <w:p w:rsidR="00793614" w:rsidRPr="00793614" w:rsidRDefault="00793614" w:rsidP="00793614">
            <w:pPr>
              <w:spacing w:after="0" w:line="240" w:lineRule="auto"/>
              <w:rPr>
                <w:rFonts w:ascii="Calibri" w:eastAsia="Times New Roman" w:hAnsi="Calibri" w:cs="Times New Roman"/>
                <w:color w:val="000000"/>
              </w:rPr>
            </w:pPr>
          </w:p>
        </w:tc>
        <w:tc>
          <w:tcPr>
            <w:tcW w:w="4160" w:type="dxa"/>
            <w:tcBorders>
              <w:top w:val="nil"/>
              <w:left w:val="nil"/>
              <w:bottom w:val="nil"/>
              <w:right w:val="nil"/>
            </w:tcBorders>
            <w:shd w:val="clear" w:color="auto" w:fill="auto"/>
            <w:noWrap/>
            <w:vAlign w:val="bottom"/>
            <w:hideMark/>
          </w:tcPr>
          <w:p w:rsidR="00793614" w:rsidRPr="00793614" w:rsidRDefault="00BD1EA1" w:rsidP="00793614">
            <w:pPr>
              <w:spacing w:after="0" w:line="240" w:lineRule="auto"/>
              <w:rPr>
                <w:rFonts w:ascii="Calibri" w:eastAsia="Times New Roman" w:hAnsi="Calibri" w:cs="Times New Roman"/>
                <w:color w:val="000000"/>
              </w:rPr>
            </w:pPr>
            <w:r>
              <w:rPr>
                <w:rFonts w:ascii="Calibri" w:eastAsia="Times New Roman" w:hAnsi="Calibri" w:cs="Times New Roman"/>
                <w:color w:val="000000"/>
              </w:rPr>
              <w:t>Strategic</w:t>
            </w:r>
            <w:r w:rsidR="00793614" w:rsidRPr="00793614">
              <w:rPr>
                <w:rFonts w:ascii="Calibri" w:eastAsia="Times New Roman" w:hAnsi="Calibri" w:cs="Times New Roman"/>
                <w:color w:val="000000"/>
              </w:rPr>
              <w:t xml:space="preserve"> marketing</w:t>
            </w:r>
            <w:r>
              <w:rPr>
                <w:rFonts w:ascii="Calibri" w:eastAsia="Times New Roman" w:hAnsi="Calibri" w:cs="Times New Roman"/>
                <w:color w:val="000000"/>
              </w:rPr>
              <w:t xml:space="preserve"> and enrollment </w:t>
            </w:r>
            <w:proofErr w:type="spellStart"/>
            <w:r>
              <w:rPr>
                <w:rFonts w:ascii="Calibri" w:eastAsia="Times New Roman" w:hAnsi="Calibri" w:cs="Times New Roman"/>
                <w:color w:val="000000"/>
              </w:rPr>
              <w:t>mgmt</w:t>
            </w:r>
            <w:proofErr w:type="spellEnd"/>
          </w:p>
        </w:tc>
        <w:tc>
          <w:tcPr>
            <w:tcW w:w="2605" w:type="dxa"/>
            <w:tcBorders>
              <w:top w:val="nil"/>
              <w:left w:val="nil"/>
              <w:bottom w:val="nil"/>
              <w:right w:val="nil"/>
            </w:tcBorders>
            <w:shd w:val="clear" w:color="auto" w:fill="auto"/>
            <w:noWrap/>
            <w:vAlign w:val="bottom"/>
            <w:hideMark/>
          </w:tcPr>
          <w:p w:rsidR="00793614" w:rsidRPr="00793614" w:rsidRDefault="00793614" w:rsidP="00B66DB7">
            <w:pPr>
              <w:spacing w:after="0" w:line="240" w:lineRule="auto"/>
              <w:rPr>
                <w:rFonts w:ascii="Calibri" w:eastAsia="Times New Roman" w:hAnsi="Calibri" w:cs="Times New Roman"/>
                <w:color w:val="000000"/>
              </w:rPr>
            </w:pPr>
            <w:r w:rsidRPr="00793614">
              <w:rPr>
                <w:rFonts w:ascii="Calibri" w:eastAsia="Times New Roman" w:hAnsi="Calibri" w:cs="Times New Roman"/>
                <w:color w:val="000000"/>
              </w:rPr>
              <w:t xml:space="preserve"> $            150,000 </w:t>
            </w:r>
          </w:p>
        </w:tc>
      </w:tr>
      <w:tr w:rsidR="00793614" w:rsidRPr="00793614" w:rsidTr="00E82FF8">
        <w:trPr>
          <w:divId w:val="897592639"/>
          <w:trHeight w:val="300"/>
        </w:trPr>
        <w:tc>
          <w:tcPr>
            <w:tcW w:w="1635" w:type="dxa"/>
            <w:tcBorders>
              <w:top w:val="nil"/>
              <w:left w:val="nil"/>
              <w:bottom w:val="nil"/>
              <w:right w:val="nil"/>
            </w:tcBorders>
            <w:shd w:val="clear" w:color="auto" w:fill="auto"/>
            <w:noWrap/>
            <w:vAlign w:val="bottom"/>
            <w:hideMark/>
          </w:tcPr>
          <w:p w:rsidR="00793614" w:rsidRPr="00793614" w:rsidRDefault="00793614" w:rsidP="00793614">
            <w:pPr>
              <w:spacing w:after="0" w:line="240" w:lineRule="auto"/>
              <w:rPr>
                <w:rFonts w:ascii="Calibri" w:eastAsia="Times New Roman" w:hAnsi="Calibri" w:cs="Times New Roman"/>
                <w:color w:val="000000"/>
              </w:rPr>
            </w:pPr>
          </w:p>
        </w:tc>
        <w:tc>
          <w:tcPr>
            <w:tcW w:w="4160" w:type="dxa"/>
            <w:tcBorders>
              <w:top w:val="nil"/>
              <w:left w:val="nil"/>
              <w:bottom w:val="nil"/>
              <w:right w:val="nil"/>
            </w:tcBorders>
            <w:shd w:val="clear" w:color="auto" w:fill="auto"/>
            <w:noWrap/>
            <w:vAlign w:val="bottom"/>
            <w:hideMark/>
          </w:tcPr>
          <w:p w:rsidR="00793614" w:rsidRPr="00793614" w:rsidRDefault="00793614" w:rsidP="00BD1EA1">
            <w:pPr>
              <w:spacing w:after="0" w:line="240" w:lineRule="auto"/>
              <w:rPr>
                <w:rFonts w:ascii="Calibri" w:eastAsia="Times New Roman" w:hAnsi="Calibri" w:cs="Times New Roman"/>
                <w:color w:val="000000"/>
              </w:rPr>
            </w:pPr>
            <w:r w:rsidRPr="00793614">
              <w:rPr>
                <w:rFonts w:ascii="Calibri" w:eastAsia="Times New Roman" w:hAnsi="Calibri" w:cs="Times New Roman"/>
                <w:color w:val="000000"/>
              </w:rPr>
              <w:t xml:space="preserve">One time </w:t>
            </w:r>
            <w:r w:rsidR="00BD1EA1">
              <w:rPr>
                <w:rFonts w:ascii="Calibri" w:eastAsia="Times New Roman" w:hAnsi="Calibri" w:cs="Times New Roman"/>
                <w:color w:val="000000"/>
              </w:rPr>
              <w:t>personnel adjustments</w:t>
            </w:r>
          </w:p>
        </w:tc>
        <w:tc>
          <w:tcPr>
            <w:tcW w:w="2605" w:type="dxa"/>
            <w:tcBorders>
              <w:top w:val="nil"/>
              <w:left w:val="nil"/>
              <w:bottom w:val="nil"/>
              <w:right w:val="nil"/>
            </w:tcBorders>
            <w:shd w:val="clear" w:color="auto" w:fill="auto"/>
            <w:noWrap/>
            <w:vAlign w:val="bottom"/>
            <w:hideMark/>
          </w:tcPr>
          <w:p w:rsidR="00793614" w:rsidRPr="00793614" w:rsidRDefault="00793614" w:rsidP="00B66DB7">
            <w:pPr>
              <w:spacing w:after="0" w:line="240" w:lineRule="auto"/>
              <w:rPr>
                <w:rFonts w:ascii="Calibri" w:eastAsia="Times New Roman" w:hAnsi="Calibri" w:cs="Times New Roman"/>
                <w:color w:val="000000"/>
              </w:rPr>
            </w:pPr>
            <w:r w:rsidRPr="00793614">
              <w:rPr>
                <w:rFonts w:ascii="Calibri" w:eastAsia="Times New Roman" w:hAnsi="Calibri" w:cs="Times New Roman"/>
                <w:color w:val="000000"/>
              </w:rPr>
              <w:t xml:space="preserve"> $              49,900 </w:t>
            </w:r>
          </w:p>
        </w:tc>
      </w:tr>
      <w:tr w:rsidR="00793614" w:rsidRPr="00793614" w:rsidTr="00E82FF8">
        <w:trPr>
          <w:divId w:val="897592639"/>
          <w:trHeight w:val="300"/>
        </w:trPr>
        <w:tc>
          <w:tcPr>
            <w:tcW w:w="1635" w:type="dxa"/>
            <w:tcBorders>
              <w:top w:val="nil"/>
              <w:left w:val="nil"/>
              <w:bottom w:val="nil"/>
              <w:right w:val="nil"/>
            </w:tcBorders>
            <w:shd w:val="clear" w:color="auto" w:fill="auto"/>
            <w:noWrap/>
            <w:vAlign w:val="bottom"/>
            <w:hideMark/>
          </w:tcPr>
          <w:p w:rsidR="00793614" w:rsidRPr="00793614" w:rsidRDefault="00793614" w:rsidP="00793614">
            <w:pPr>
              <w:spacing w:after="0" w:line="240" w:lineRule="auto"/>
              <w:rPr>
                <w:rFonts w:ascii="Calibri" w:eastAsia="Times New Roman" w:hAnsi="Calibri" w:cs="Times New Roman"/>
                <w:color w:val="000000"/>
              </w:rPr>
            </w:pPr>
          </w:p>
        </w:tc>
        <w:tc>
          <w:tcPr>
            <w:tcW w:w="4160" w:type="dxa"/>
            <w:tcBorders>
              <w:top w:val="nil"/>
              <w:left w:val="nil"/>
              <w:bottom w:val="nil"/>
              <w:right w:val="nil"/>
            </w:tcBorders>
            <w:shd w:val="clear" w:color="auto" w:fill="auto"/>
            <w:noWrap/>
            <w:vAlign w:val="bottom"/>
            <w:hideMark/>
          </w:tcPr>
          <w:p w:rsidR="00793614" w:rsidRPr="00793614" w:rsidRDefault="00BD1EA1" w:rsidP="00793614">
            <w:pPr>
              <w:spacing w:after="0" w:line="240" w:lineRule="auto"/>
              <w:rPr>
                <w:rFonts w:ascii="Calibri" w:eastAsia="Times New Roman" w:hAnsi="Calibri" w:cs="Times New Roman"/>
                <w:color w:val="000000"/>
              </w:rPr>
            </w:pPr>
            <w:r>
              <w:rPr>
                <w:rFonts w:ascii="Calibri" w:eastAsia="Times New Roman" w:hAnsi="Calibri" w:cs="Times New Roman"/>
                <w:color w:val="000000"/>
              </w:rPr>
              <w:t>SOM accreditation self-study</w:t>
            </w:r>
          </w:p>
        </w:tc>
        <w:tc>
          <w:tcPr>
            <w:tcW w:w="2605" w:type="dxa"/>
            <w:tcBorders>
              <w:top w:val="nil"/>
              <w:left w:val="nil"/>
              <w:bottom w:val="nil"/>
              <w:right w:val="nil"/>
            </w:tcBorders>
            <w:shd w:val="clear" w:color="auto" w:fill="auto"/>
            <w:noWrap/>
            <w:vAlign w:val="bottom"/>
            <w:hideMark/>
          </w:tcPr>
          <w:p w:rsidR="00793614" w:rsidRPr="00793614" w:rsidRDefault="00793614" w:rsidP="00B66DB7">
            <w:pPr>
              <w:spacing w:after="0" w:line="240" w:lineRule="auto"/>
              <w:rPr>
                <w:rFonts w:ascii="Calibri" w:eastAsia="Times New Roman" w:hAnsi="Calibri" w:cs="Times New Roman"/>
                <w:color w:val="000000"/>
              </w:rPr>
            </w:pPr>
            <w:r w:rsidRPr="00793614">
              <w:rPr>
                <w:rFonts w:ascii="Calibri" w:eastAsia="Times New Roman" w:hAnsi="Calibri" w:cs="Times New Roman"/>
                <w:color w:val="000000"/>
              </w:rPr>
              <w:t xml:space="preserve"> $              20,000 </w:t>
            </w:r>
          </w:p>
        </w:tc>
      </w:tr>
      <w:tr w:rsidR="00793614" w:rsidRPr="00793614" w:rsidTr="00E82FF8">
        <w:trPr>
          <w:divId w:val="897592639"/>
          <w:trHeight w:val="300"/>
        </w:trPr>
        <w:tc>
          <w:tcPr>
            <w:tcW w:w="1635" w:type="dxa"/>
            <w:tcBorders>
              <w:top w:val="nil"/>
              <w:left w:val="nil"/>
              <w:bottom w:val="nil"/>
              <w:right w:val="nil"/>
            </w:tcBorders>
            <w:shd w:val="clear" w:color="auto" w:fill="auto"/>
            <w:noWrap/>
            <w:vAlign w:val="bottom"/>
            <w:hideMark/>
          </w:tcPr>
          <w:p w:rsidR="00793614" w:rsidRPr="00793614" w:rsidRDefault="00793614" w:rsidP="00793614">
            <w:pPr>
              <w:spacing w:after="0" w:line="240" w:lineRule="auto"/>
              <w:rPr>
                <w:rFonts w:ascii="Calibri" w:eastAsia="Times New Roman" w:hAnsi="Calibri" w:cs="Times New Roman"/>
                <w:color w:val="000000"/>
              </w:rPr>
            </w:pPr>
          </w:p>
        </w:tc>
        <w:tc>
          <w:tcPr>
            <w:tcW w:w="4160" w:type="dxa"/>
            <w:tcBorders>
              <w:top w:val="nil"/>
              <w:left w:val="nil"/>
              <w:bottom w:val="nil"/>
              <w:right w:val="nil"/>
            </w:tcBorders>
            <w:shd w:val="clear" w:color="auto" w:fill="auto"/>
            <w:noWrap/>
            <w:vAlign w:val="bottom"/>
            <w:hideMark/>
          </w:tcPr>
          <w:p w:rsidR="00793614" w:rsidRPr="00793614" w:rsidRDefault="00BD1EA1" w:rsidP="00793614">
            <w:pPr>
              <w:spacing w:after="0" w:line="240" w:lineRule="auto"/>
              <w:rPr>
                <w:rFonts w:ascii="Calibri" w:eastAsia="Times New Roman" w:hAnsi="Calibri" w:cs="Times New Roman"/>
                <w:color w:val="000000"/>
              </w:rPr>
            </w:pPr>
            <w:r>
              <w:rPr>
                <w:rFonts w:ascii="Calibri" w:eastAsia="Times New Roman" w:hAnsi="Calibri" w:cs="Times New Roman"/>
                <w:color w:val="000000"/>
              </w:rPr>
              <w:t>Improving UAS</w:t>
            </w:r>
            <w:r w:rsidR="00793614" w:rsidRPr="00793614">
              <w:rPr>
                <w:rFonts w:ascii="Calibri" w:eastAsia="Times New Roman" w:hAnsi="Calibri" w:cs="Times New Roman"/>
                <w:color w:val="000000"/>
              </w:rPr>
              <w:t xml:space="preserve"> recruitment</w:t>
            </w:r>
            <w:r>
              <w:rPr>
                <w:rFonts w:ascii="Calibri" w:eastAsia="Times New Roman" w:hAnsi="Calibri" w:cs="Times New Roman"/>
                <w:color w:val="000000"/>
              </w:rPr>
              <w:t xml:space="preserve"> strategies</w:t>
            </w:r>
          </w:p>
        </w:tc>
        <w:tc>
          <w:tcPr>
            <w:tcW w:w="2605" w:type="dxa"/>
            <w:tcBorders>
              <w:top w:val="nil"/>
              <w:left w:val="nil"/>
              <w:bottom w:val="nil"/>
              <w:right w:val="nil"/>
            </w:tcBorders>
            <w:shd w:val="clear" w:color="auto" w:fill="auto"/>
            <w:noWrap/>
            <w:vAlign w:val="bottom"/>
            <w:hideMark/>
          </w:tcPr>
          <w:p w:rsidR="00793614" w:rsidRPr="00793614" w:rsidRDefault="00793614" w:rsidP="00B66DB7">
            <w:pPr>
              <w:spacing w:after="0" w:line="240" w:lineRule="auto"/>
              <w:rPr>
                <w:rFonts w:ascii="Calibri" w:eastAsia="Times New Roman" w:hAnsi="Calibri" w:cs="Times New Roman"/>
                <w:color w:val="000000"/>
              </w:rPr>
            </w:pPr>
            <w:r w:rsidRPr="00793614">
              <w:rPr>
                <w:rFonts w:ascii="Calibri" w:eastAsia="Times New Roman" w:hAnsi="Calibri" w:cs="Times New Roman"/>
                <w:color w:val="000000"/>
              </w:rPr>
              <w:t xml:space="preserve"> $              11,000 </w:t>
            </w:r>
          </w:p>
        </w:tc>
      </w:tr>
      <w:tr w:rsidR="00793614" w:rsidRPr="00793614" w:rsidTr="00E82FF8">
        <w:trPr>
          <w:divId w:val="897592639"/>
          <w:trHeight w:val="300"/>
        </w:trPr>
        <w:tc>
          <w:tcPr>
            <w:tcW w:w="1635" w:type="dxa"/>
            <w:tcBorders>
              <w:top w:val="nil"/>
              <w:left w:val="nil"/>
              <w:bottom w:val="nil"/>
              <w:right w:val="nil"/>
            </w:tcBorders>
            <w:shd w:val="clear" w:color="auto" w:fill="auto"/>
            <w:noWrap/>
            <w:vAlign w:val="bottom"/>
            <w:hideMark/>
          </w:tcPr>
          <w:p w:rsidR="00793614" w:rsidRPr="00793614" w:rsidRDefault="00793614" w:rsidP="00793614">
            <w:pPr>
              <w:spacing w:after="0" w:line="240" w:lineRule="auto"/>
              <w:rPr>
                <w:rFonts w:ascii="Calibri" w:eastAsia="Times New Roman" w:hAnsi="Calibri" w:cs="Times New Roman"/>
                <w:color w:val="000000"/>
              </w:rPr>
            </w:pPr>
          </w:p>
        </w:tc>
        <w:tc>
          <w:tcPr>
            <w:tcW w:w="4160" w:type="dxa"/>
            <w:tcBorders>
              <w:top w:val="nil"/>
              <w:left w:val="nil"/>
              <w:bottom w:val="nil"/>
              <w:right w:val="nil"/>
            </w:tcBorders>
            <w:shd w:val="clear" w:color="auto" w:fill="auto"/>
            <w:noWrap/>
            <w:vAlign w:val="bottom"/>
            <w:hideMark/>
          </w:tcPr>
          <w:p w:rsidR="00793614" w:rsidRPr="00793614" w:rsidRDefault="00BD1EA1" w:rsidP="00793614">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PageUp</w:t>
            </w:r>
            <w:proofErr w:type="spellEnd"/>
            <w:r>
              <w:rPr>
                <w:rFonts w:ascii="Calibri" w:eastAsia="Times New Roman" w:hAnsi="Calibri" w:cs="Times New Roman"/>
                <w:color w:val="000000"/>
              </w:rPr>
              <w:t xml:space="preserve"> one-</w:t>
            </w:r>
            <w:r w:rsidR="00793614" w:rsidRPr="00793614">
              <w:rPr>
                <w:rFonts w:ascii="Calibri" w:eastAsia="Times New Roman" w:hAnsi="Calibri" w:cs="Times New Roman"/>
                <w:color w:val="000000"/>
              </w:rPr>
              <w:t>time costs</w:t>
            </w:r>
          </w:p>
        </w:tc>
        <w:tc>
          <w:tcPr>
            <w:tcW w:w="2605" w:type="dxa"/>
            <w:tcBorders>
              <w:top w:val="nil"/>
              <w:left w:val="nil"/>
              <w:bottom w:val="nil"/>
              <w:right w:val="nil"/>
            </w:tcBorders>
            <w:shd w:val="clear" w:color="auto" w:fill="auto"/>
            <w:noWrap/>
            <w:vAlign w:val="bottom"/>
            <w:hideMark/>
          </w:tcPr>
          <w:p w:rsidR="00793614" w:rsidRPr="00793614" w:rsidRDefault="00793614" w:rsidP="00B66DB7">
            <w:pPr>
              <w:spacing w:after="0" w:line="240" w:lineRule="auto"/>
              <w:rPr>
                <w:rFonts w:ascii="Calibri" w:eastAsia="Times New Roman" w:hAnsi="Calibri" w:cs="Times New Roman"/>
                <w:color w:val="000000"/>
              </w:rPr>
            </w:pPr>
            <w:r w:rsidRPr="00793614">
              <w:rPr>
                <w:rFonts w:ascii="Calibri" w:eastAsia="Times New Roman" w:hAnsi="Calibri" w:cs="Times New Roman"/>
                <w:color w:val="000000"/>
              </w:rPr>
              <w:t xml:space="preserve"> $                3,000 </w:t>
            </w:r>
          </w:p>
        </w:tc>
      </w:tr>
      <w:tr w:rsidR="00793614" w:rsidRPr="00793614" w:rsidTr="00E82FF8">
        <w:trPr>
          <w:divId w:val="897592639"/>
          <w:trHeight w:val="300"/>
        </w:trPr>
        <w:tc>
          <w:tcPr>
            <w:tcW w:w="5795" w:type="dxa"/>
            <w:gridSpan w:val="2"/>
            <w:tcBorders>
              <w:top w:val="nil"/>
              <w:left w:val="nil"/>
              <w:bottom w:val="nil"/>
              <w:right w:val="nil"/>
            </w:tcBorders>
            <w:shd w:val="clear" w:color="DCE6F1" w:fill="DCE6F1"/>
            <w:noWrap/>
            <w:vAlign w:val="bottom"/>
            <w:hideMark/>
          </w:tcPr>
          <w:p w:rsidR="00793614" w:rsidRPr="00793614" w:rsidRDefault="00793614" w:rsidP="00793614">
            <w:pPr>
              <w:spacing w:after="0" w:line="240" w:lineRule="auto"/>
              <w:rPr>
                <w:rFonts w:ascii="Calibri" w:eastAsia="Times New Roman" w:hAnsi="Calibri" w:cs="Times New Roman"/>
                <w:b/>
                <w:bCs/>
                <w:color w:val="000000"/>
              </w:rPr>
            </w:pPr>
            <w:r w:rsidRPr="00793614">
              <w:rPr>
                <w:rFonts w:ascii="Calibri" w:eastAsia="Times New Roman" w:hAnsi="Calibri" w:cs="Times New Roman"/>
                <w:b/>
                <w:bCs/>
                <w:color w:val="000000"/>
              </w:rPr>
              <w:t>Under consideration</w:t>
            </w:r>
          </w:p>
        </w:tc>
        <w:tc>
          <w:tcPr>
            <w:tcW w:w="2605" w:type="dxa"/>
            <w:tcBorders>
              <w:top w:val="nil"/>
              <w:left w:val="nil"/>
              <w:bottom w:val="nil"/>
              <w:right w:val="nil"/>
            </w:tcBorders>
            <w:shd w:val="clear" w:color="DCE6F1" w:fill="DCE6F1"/>
            <w:noWrap/>
            <w:vAlign w:val="bottom"/>
            <w:hideMark/>
          </w:tcPr>
          <w:p w:rsidR="00793614" w:rsidRPr="00793614" w:rsidRDefault="00793614" w:rsidP="00793614">
            <w:pPr>
              <w:spacing w:after="0" w:line="240" w:lineRule="auto"/>
              <w:rPr>
                <w:rFonts w:ascii="Calibri" w:eastAsia="Times New Roman" w:hAnsi="Calibri" w:cs="Times New Roman"/>
                <w:b/>
                <w:bCs/>
                <w:color w:val="000000"/>
              </w:rPr>
            </w:pPr>
          </w:p>
        </w:tc>
      </w:tr>
      <w:tr w:rsidR="00793614" w:rsidRPr="00793614" w:rsidTr="00E82FF8">
        <w:trPr>
          <w:divId w:val="897592639"/>
          <w:trHeight w:val="300"/>
        </w:trPr>
        <w:tc>
          <w:tcPr>
            <w:tcW w:w="1635" w:type="dxa"/>
            <w:tcBorders>
              <w:top w:val="nil"/>
              <w:left w:val="nil"/>
              <w:bottom w:val="nil"/>
              <w:right w:val="nil"/>
            </w:tcBorders>
            <w:shd w:val="clear" w:color="auto" w:fill="auto"/>
            <w:noWrap/>
            <w:vAlign w:val="bottom"/>
            <w:hideMark/>
          </w:tcPr>
          <w:p w:rsidR="00793614" w:rsidRPr="00793614" w:rsidRDefault="00793614" w:rsidP="00793614">
            <w:pPr>
              <w:spacing w:after="0" w:line="240" w:lineRule="auto"/>
              <w:rPr>
                <w:rFonts w:ascii="Calibri" w:eastAsia="Times New Roman" w:hAnsi="Calibri" w:cs="Times New Roman"/>
                <w:color w:val="000000"/>
              </w:rPr>
            </w:pPr>
          </w:p>
        </w:tc>
        <w:tc>
          <w:tcPr>
            <w:tcW w:w="4160" w:type="dxa"/>
            <w:tcBorders>
              <w:top w:val="nil"/>
              <w:left w:val="nil"/>
              <w:bottom w:val="nil"/>
              <w:right w:val="nil"/>
            </w:tcBorders>
            <w:shd w:val="clear" w:color="auto" w:fill="auto"/>
            <w:noWrap/>
            <w:vAlign w:val="bottom"/>
            <w:hideMark/>
          </w:tcPr>
          <w:p w:rsidR="00793614" w:rsidRPr="00793614" w:rsidRDefault="00793614" w:rsidP="00793614">
            <w:pPr>
              <w:spacing w:after="0" w:line="240" w:lineRule="auto"/>
              <w:rPr>
                <w:rFonts w:ascii="Calibri" w:eastAsia="Times New Roman" w:hAnsi="Calibri" w:cs="Times New Roman"/>
                <w:color w:val="000000"/>
              </w:rPr>
            </w:pPr>
            <w:r w:rsidRPr="00793614">
              <w:rPr>
                <w:rFonts w:ascii="Calibri" w:eastAsia="Times New Roman" w:hAnsi="Calibri" w:cs="Times New Roman"/>
                <w:color w:val="000000"/>
              </w:rPr>
              <w:t>Debt reduction</w:t>
            </w:r>
          </w:p>
        </w:tc>
        <w:tc>
          <w:tcPr>
            <w:tcW w:w="2605" w:type="dxa"/>
            <w:tcBorders>
              <w:top w:val="nil"/>
              <w:left w:val="nil"/>
              <w:bottom w:val="nil"/>
              <w:right w:val="nil"/>
            </w:tcBorders>
            <w:shd w:val="clear" w:color="auto" w:fill="auto"/>
            <w:noWrap/>
            <w:vAlign w:val="bottom"/>
            <w:hideMark/>
          </w:tcPr>
          <w:p w:rsidR="00793614" w:rsidRPr="00793614" w:rsidRDefault="00793614" w:rsidP="00B66DB7">
            <w:pPr>
              <w:spacing w:after="0" w:line="240" w:lineRule="auto"/>
              <w:rPr>
                <w:rFonts w:ascii="Calibri" w:eastAsia="Times New Roman" w:hAnsi="Calibri" w:cs="Times New Roman"/>
                <w:color w:val="000000"/>
              </w:rPr>
            </w:pPr>
            <w:r w:rsidRPr="00793614">
              <w:rPr>
                <w:rFonts w:ascii="Calibri" w:eastAsia="Times New Roman" w:hAnsi="Calibri" w:cs="Times New Roman"/>
                <w:color w:val="000000"/>
              </w:rPr>
              <w:t xml:space="preserve"> $        2,100,000 </w:t>
            </w:r>
          </w:p>
        </w:tc>
      </w:tr>
      <w:tr w:rsidR="00793614" w:rsidRPr="00793614" w:rsidTr="00E82FF8">
        <w:trPr>
          <w:divId w:val="897592639"/>
          <w:trHeight w:val="300"/>
        </w:trPr>
        <w:tc>
          <w:tcPr>
            <w:tcW w:w="5795" w:type="dxa"/>
            <w:gridSpan w:val="2"/>
            <w:tcBorders>
              <w:top w:val="nil"/>
              <w:left w:val="nil"/>
              <w:bottom w:val="nil"/>
              <w:right w:val="nil"/>
            </w:tcBorders>
            <w:shd w:val="clear" w:color="DCE6F1" w:fill="DCE6F1"/>
            <w:noWrap/>
            <w:vAlign w:val="bottom"/>
            <w:hideMark/>
          </w:tcPr>
          <w:p w:rsidR="00793614" w:rsidRPr="00793614" w:rsidRDefault="00793614" w:rsidP="00793614">
            <w:pPr>
              <w:spacing w:after="0" w:line="240" w:lineRule="auto"/>
              <w:rPr>
                <w:rFonts w:ascii="Calibri" w:eastAsia="Times New Roman" w:hAnsi="Calibri" w:cs="Times New Roman"/>
                <w:b/>
                <w:bCs/>
                <w:color w:val="000000"/>
              </w:rPr>
            </w:pPr>
            <w:r w:rsidRPr="00793614">
              <w:rPr>
                <w:rFonts w:ascii="Calibri" w:eastAsia="Times New Roman" w:hAnsi="Calibri" w:cs="Times New Roman"/>
                <w:b/>
                <w:bCs/>
                <w:color w:val="000000"/>
              </w:rPr>
              <w:t>Undesignated</w:t>
            </w:r>
          </w:p>
        </w:tc>
        <w:tc>
          <w:tcPr>
            <w:tcW w:w="2605" w:type="dxa"/>
            <w:tcBorders>
              <w:top w:val="nil"/>
              <w:left w:val="nil"/>
              <w:bottom w:val="nil"/>
              <w:right w:val="nil"/>
            </w:tcBorders>
            <w:shd w:val="clear" w:color="DCE6F1" w:fill="DCE6F1"/>
            <w:noWrap/>
            <w:vAlign w:val="bottom"/>
            <w:hideMark/>
          </w:tcPr>
          <w:p w:rsidR="00793614" w:rsidRPr="00793614" w:rsidRDefault="00793614" w:rsidP="00793614">
            <w:pPr>
              <w:spacing w:after="0" w:line="240" w:lineRule="auto"/>
              <w:rPr>
                <w:rFonts w:ascii="Calibri" w:eastAsia="Times New Roman" w:hAnsi="Calibri" w:cs="Times New Roman"/>
                <w:b/>
                <w:bCs/>
                <w:color w:val="000000"/>
              </w:rPr>
            </w:pPr>
          </w:p>
        </w:tc>
      </w:tr>
      <w:tr w:rsidR="00793614" w:rsidRPr="00793614" w:rsidTr="00E82FF8">
        <w:trPr>
          <w:divId w:val="897592639"/>
          <w:trHeight w:val="300"/>
        </w:trPr>
        <w:tc>
          <w:tcPr>
            <w:tcW w:w="1635" w:type="dxa"/>
            <w:tcBorders>
              <w:top w:val="nil"/>
              <w:left w:val="nil"/>
              <w:bottom w:val="nil"/>
              <w:right w:val="nil"/>
            </w:tcBorders>
            <w:shd w:val="clear" w:color="auto" w:fill="auto"/>
            <w:noWrap/>
            <w:vAlign w:val="bottom"/>
            <w:hideMark/>
          </w:tcPr>
          <w:p w:rsidR="00793614" w:rsidRPr="00793614" w:rsidRDefault="00793614" w:rsidP="00793614">
            <w:pPr>
              <w:spacing w:after="0" w:line="240" w:lineRule="auto"/>
              <w:rPr>
                <w:rFonts w:ascii="Calibri" w:eastAsia="Times New Roman" w:hAnsi="Calibri" w:cs="Times New Roman"/>
                <w:color w:val="000000"/>
              </w:rPr>
            </w:pPr>
          </w:p>
        </w:tc>
        <w:tc>
          <w:tcPr>
            <w:tcW w:w="4160" w:type="dxa"/>
            <w:tcBorders>
              <w:top w:val="nil"/>
              <w:left w:val="nil"/>
              <w:bottom w:val="nil"/>
              <w:right w:val="nil"/>
            </w:tcBorders>
            <w:shd w:val="clear" w:color="auto" w:fill="auto"/>
            <w:noWrap/>
            <w:vAlign w:val="bottom"/>
            <w:hideMark/>
          </w:tcPr>
          <w:p w:rsidR="00793614" w:rsidRPr="00793614" w:rsidRDefault="00793614" w:rsidP="00793614">
            <w:pPr>
              <w:spacing w:after="0" w:line="240" w:lineRule="auto"/>
              <w:rPr>
                <w:rFonts w:ascii="Calibri" w:eastAsia="Times New Roman" w:hAnsi="Calibri" w:cs="Times New Roman"/>
                <w:b/>
                <w:color w:val="000000"/>
              </w:rPr>
            </w:pPr>
            <w:r w:rsidRPr="00793614">
              <w:rPr>
                <w:rFonts w:ascii="Calibri" w:eastAsia="Times New Roman" w:hAnsi="Calibri" w:cs="Times New Roman"/>
                <w:b/>
                <w:color w:val="000000"/>
              </w:rPr>
              <w:t>Currently undesignated</w:t>
            </w:r>
          </w:p>
        </w:tc>
        <w:tc>
          <w:tcPr>
            <w:tcW w:w="2605" w:type="dxa"/>
            <w:tcBorders>
              <w:top w:val="nil"/>
              <w:left w:val="nil"/>
              <w:bottom w:val="nil"/>
              <w:right w:val="nil"/>
            </w:tcBorders>
            <w:shd w:val="clear" w:color="auto" w:fill="auto"/>
            <w:noWrap/>
            <w:vAlign w:val="bottom"/>
            <w:hideMark/>
          </w:tcPr>
          <w:p w:rsidR="00793614" w:rsidRPr="00793614" w:rsidRDefault="00793614" w:rsidP="00B66DB7">
            <w:pPr>
              <w:spacing w:after="0" w:line="240" w:lineRule="auto"/>
              <w:rPr>
                <w:rFonts w:ascii="Calibri" w:eastAsia="Times New Roman" w:hAnsi="Calibri" w:cs="Times New Roman"/>
                <w:b/>
                <w:color w:val="000000"/>
              </w:rPr>
            </w:pPr>
            <w:r w:rsidRPr="00793614">
              <w:rPr>
                <w:rFonts w:ascii="Calibri" w:eastAsia="Times New Roman" w:hAnsi="Calibri" w:cs="Times New Roman"/>
                <w:b/>
                <w:color w:val="000000"/>
              </w:rPr>
              <w:t xml:space="preserve"> $            625,171 </w:t>
            </w:r>
          </w:p>
        </w:tc>
      </w:tr>
      <w:tr w:rsidR="00793614" w:rsidRPr="00793614" w:rsidTr="00E82FF8">
        <w:trPr>
          <w:divId w:val="897592639"/>
          <w:trHeight w:val="300"/>
        </w:trPr>
        <w:tc>
          <w:tcPr>
            <w:tcW w:w="1635" w:type="dxa"/>
            <w:tcBorders>
              <w:top w:val="single" w:sz="4" w:space="0" w:color="366092"/>
              <w:left w:val="nil"/>
              <w:bottom w:val="single" w:sz="8" w:space="0" w:color="366092"/>
              <w:right w:val="nil"/>
            </w:tcBorders>
            <w:shd w:val="clear" w:color="auto" w:fill="auto"/>
            <w:noWrap/>
            <w:vAlign w:val="bottom"/>
            <w:hideMark/>
          </w:tcPr>
          <w:p w:rsidR="00793614" w:rsidRPr="00793614" w:rsidRDefault="00793614" w:rsidP="00793614">
            <w:pPr>
              <w:spacing w:after="0" w:line="240" w:lineRule="auto"/>
              <w:rPr>
                <w:rFonts w:ascii="Calibri" w:eastAsia="Times New Roman" w:hAnsi="Calibri" w:cs="Times New Roman"/>
                <w:b/>
                <w:bCs/>
                <w:color w:val="000000"/>
              </w:rPr>
            </w:pPr>
            <w:r w:rsidRPr="00793614">
              <w:rPr>
                <w:rFonts w:ascii="Calibri" w:eastAsia="Times New Roman" w:hAnsi="Calibri" w:cs="Times New Roman"/>
                <w:b/>
                <w:bCs/>
                <w:color w:val="000000"/>
              </w:rPr>
              <w:t>Grand Total</w:t>
            </w:r>
          </w:p>
        </w:tc>
        <w:tc>
          <w:tcPr>
            <w:tcW w:w="4160" w:type="dxa"/>
            <w:tcBorders>
              <w:top w:val="single" w:sz="4" w:space="0" w:color="366092"/>
              <w:left w:val="nil"/>
              <w:bottom w:val="single" w:sz="8" w:space="0" w:color="366092"/>
              <w:right w:val="nil"/>
            </w:tcBorders>
            <w:shd w:val="clear" w:color="auto" w:fill="auto"/>
            <w:noWrap/>
            <w:vAlign w:val="bottom"/>
            <w:hideMark/>
          </w:tcPr>
          <w:p w:rsidR="00793614" w:rsidRPr="00793614" w:rsidRDefault="00793614" w:rsidP="00793614">
            <w:pPr>
              <w:spacing w:after="0" w:line="240" w:lineRule="auto"/>
              <w:rPr>
                <w:rFonts w:ascii="Calibri" w:eastAsia="Times New Roman" w:hAnsi="Calibri" w:cs="Times New Roman"/>
                <w:b/>
                <w:bCs/>
                <w:color w:val="000000"/>
              </w:rPr>
            </w:pPr>
          </w:p>
        </w:tc>
        <w:tc>
          <w:tcPr>
            <w:tcW w:w="2605" w:type="dxa"/>
            <w:tcBorders>
              <w:top w:val="single" w:sz="4" w:space="0" w:color="366092"/>
              <w:left w:val="nil"/>
              <w:bottom w:val="single" w:sz="8" w:space="0" w:color="366092"/>
              <w:right w:val="nil"/>
            </w:tcBorders>
            <w:shd w:val="clear" w:color="auto" w:fill="auto"/>
            <w:noWrap/>
            <w:vAlign w:val="bottom"/>
            <w:hideMark/>
          </w:tcPr>
          <w:p w:rsidR="00793614" w:rsidRPr="00793614" w:rsidRDefault="00793614" w:rsidP="00B66DB7">
            <w:pPr>
              <w:spacing w:after="0" w:line="240" w:lineRule="auto"/>
              <w:rPr>
                <w:rFonts w:ascii="Calibri" w:eastAsia="Times New Roman" w:hAnsi="Calibri" w:cs="Times New Roman"/>
                <w:b/>
                <w:bCs/>
                <w:color w:val="000000"/>
              </w:rPr>
            </w:pPr>
            <w:r w:rsidRPr="00793614">
              <w:rPr>
                <w:rFonts w:ascii="Calibri" w:eastAsia="Times New Roman" w:hAnsi="Calibri" w:cs="Times New Roman"/>
                <w:b/>
                <w:bCs/>
                <w:color w:val="000000"/>
              </w:rPr>
              <w:t xml:space="preserve"> $        </w:t>
            </w:r>
            <w:r w:rsidR="00BD1EA1">
              <w:rPr>
                <w:rFonts w:ascii="Calibri" w:eastAsia="Times New Roman" w:hAnsi="Calibri" w:cs="Times New Roman"/>
                <w:b/>
                <w:bCs/>
                <w:color w:val="000000"/>
              </w:rPr>
              <w:t>3,7</w:t>
            </w:r>
            <w:r w:rsidR="00B66DB7">
              <w:rPr>
                <w:rFonts w:ascii="Calibri" w:eastAsia="Times New Roman" w:hAnsi="Calibri" w:cs="Times New Roman"/>
                <w:b/>
                <w:bCs/>
                <w:color w:val="000000"/>
              </w:rPr>
              <w:t>94,171</w:t>
            </w:r>
          </w:p>
        </w:tc>
      </w:tr>
    </w:tbl>
    <w:p w:rsidR="003D6505" w:rsidRDefault="00793614">
      <w:r>
        <w:fldChar w:fldCharType="end"/>
      </w:r>
    </w:p>
    <w:sectPr w:rsidR="003D6505" w:rsidSect="00307B1E">
      <w:headerReference w:type="default" r:id="rId8"/>
      <w:pgSz w:w="12240" w:h="15840"/>
      <w:pgMar w:top="440" w:right="990" w:bottom="270" w:left="9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DB7" w:rsidRDefault="00B66DB7" w:rsidP="00793614">
      <w:pPr>
        <w:spacing w:after="0" w:line="240" w:lineRule="auto"/>
      </w:pPr>
      <w:r>
        <w:separator/>
      </w:r>
    </w:p>
  </w:endnote>
  <w:endnote w:type="continuationSeparator" w:id="0">
    <w:p w:rsidR="00B66DB7" w:rsidRDefault="00B66DB7" w:rsidP="0079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DB7" w:rsidRDefault="00B66DB7" w:rsidP="00793614">
      <w:pPr>
        <w:spacing w:after="0" w:line="240" w:lineRule="auto"/>
      </w:pPr>
      <w:r>
        <w:separator/>
      </w:r>
    </w:p>
  </w:footnote>
  <w:footnote w:type="continuationSeparator" w:id="0">
    <w:p w:rsidR="00B66DB7" w:rsidRDefault="00B66DB7" w:rsidP="00793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B7" w:rsidRPr="00947223" w:rsidRDefault="00B66DB7" w:rsidP="00793614">
    <w:pPr>
      <w:pBdr>
        <w:bottom w:val="single" w:sz="8" w:space="4" w:color="4F81BD"/>
      </w:pBdr>
      <w:spacing w:after="0" w:line="240" w:lineRule="auto"/>
      <w:ind w:right="3780"/>
      <w:contextualSpacing/>
      <w:rPr>
        <w:rFonts w:ascii="Cambria" w:eastAsia="Times New Roman" w:hAnsi="Cambria" w:cs="Times New Roman"/>
        <w:color w:val="17365D"/>
        <w:spacing w:val="5"/>
        <w:kern w:val="28"/>
        <w:sz w:val="44"/>
        <w:szCs w:val="44"/>
      </w:rPr>
    </w:pPr>
    <w:r w:rsidRPr="00947223">
      <w:rPr>
        <w:rFonts w:ascii="Cambria" w:eastAsia="Times New Roman" w:hAnsi="Cambria" w:cs="Times New Roman"/>
        <w:noProof/>
        <w:color w:val="17365D"/>
        <w:spacing w:val="5"/>
        <w:kern w:val="28"/>
        <w:sz w:val="44"/>
        <w:szCs w:val="44"/>
      </w:rPr>
      <w:drawing>
        <wp:anchor distT="0" distB="0" distL="114300" distR="114300" simplePos="0" relativeHeight="251659264" behindDoc="1" locked="0" layoutInCell="1" allowOverlap="1" wp14:anchorId="2CF1E748" wp14:editId="574286AD">
          <wp:simplePos x="0" y="0"/>
          <wp:positionH relativeFrom="column">
            <wp:posOffset>4338320</wp:posOffset>
          </wp:positionH>
          <wp:positionV relativeFrom="paragraph">
            <wp:posOffset>57150</wp:posOffset>
          </wp:positionV>
          <wp:extent cx="2150745" cy="523875"/>
          <wp:effectExtent l="0" t="0" r="1905" b="9525"/>
          <wp:wrapTight wrapText="bothSides">
            <wp:wrapPolygon edited="0">
              <wp:start x="0" y="0"/>
              <wp:lineTo x="0" y="21207"/>
              <wp:lineTo x="21428" y="21207"/>
              <wp:lineTo x="21428" y="0"/>
              <wp:lineTo x="0" y="0"/>
            </wp:wrapPolygon>
          </wp:wrapTight>
          <wp:docPr id="3" name="Picture 3" descr="UAS LEC LOGO HORZ cmyk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S LEC LOGO HORZ cmyk 3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074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223">
      <w:rPr>
        <w:rFonts w:ascii="Cambria" w:eastAsia="Times New Roman" w:hAnsi="Cambria" w:cs="Times New Roman"/>
        <w:color w:val="17365D"/>
        <w:spacing w:val="5"/>
        <w:kern w:val="28"/>
        <w:sz w:val="44"/>
        <w:szCs w:val="44"/>
      </w:rPr>
      <w:t xml:space="preserve">UAS </w:t>
    </w:r>
    <w:r w:rsidR="00947223" w:rsidRPr="00947223">
      <w:rPr>
        <w:rFonts w:ascii="Cambria" w:eastAsia="Times New Roman" w:hAnsi="Cambria" w:cs="Times New Roman"/>
        <w:color w:val="17365D"/>
        <w:spacing w:val="5"/>
        <w:kern w:val="28"/>
        <w:sz w:val="44"/>
        <w:szCs w:val="44"/>
      </w:rPr>
      <w:t>Juneau Campus</w:t>
    </w:r>
    <w:r w:rsidR="00947223">
      <w:rPr>
        <w:rFonts w:ascii="Cambria" w:eastAsia="Times New Roman" w:hAnsi="Cambria" w:cs="Times New Roman"/>
        <w:color w:val="17365D"/>
        <w:spacing w:val="5"/>
        <w:kern w:val="28"/>
        <w:sz w:val="44"/>
        <w:szCs w:val="44"/>
      </w:rPr>
      <w:t xml:space="preserve"> </w:t>
    </w:r>
    <w:r w:rsidRPr="00947223">
      <w:rPr>
        <w:rFonts w:ascii="Cambria" w:eastAsia="Times New Roman" w:hAnsi="Cambria" w:cs="Times New Roman"/>
        <w:color w:val="17365D"/>
        <w:spacing w:val="5"/>
        <w:kern w:val="28"/>
        <w:sz w:val="44"/>
        <w:szCs w:val="44"/>
      </w:rPr>
      <w:t>UFB Update</w:t>
    </w:r>
  </w:p>
  <w:p w:rsidR="00B66DB7" w:rsidRPr="00793614" w:rsidRDefault="00B66DB7" w:rsidP="00947223">
    <w:pPr>
      <w:tabs>
        <w:tab w:val="center" w:pos="4680"/>
        <w:tab w:val="right" w:pos="9360"/>
      </w:tabs>
      <w:spacing w:after="0" w:line="240" w:lineRule="auto"/>
      <w:rPr>
        <w:rFonts w:ascii="Calibri" w:eastAsia="Calibri" w:hAnsi="Calibri" w:cs="Times New Roman"/>
      </w:rPr>
    </w:pPr>
    <w:r w:rsidRPr="00793614">
      <w:rPr>
        <w:rFonts w:ascii="Calibri" w:eastAsia="Calibri" w:hAnsi="Calibri" w:cs="Times New Roman"/>
      </w:rPr>
      <w:t>Updated: November 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8C3"/>
    <w:multiLevelType w:val="hybridMultilevel"/>
    <w:tmpl w:val="6456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8198D"/>
    <w:multiLevelType w:val="hybridMultilevel"/>
    <w:tmpl w:val="E9A8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14"/>
    <w:rsid w:val="00200934"/>
    <w:rsid w:val="00307B1E"/>
    <w:rsid w:val="003D6505"/>
    <w:rsid w:val="00793614"/>
    <w:rsid w:val="008972DE"/>
    <w:rsid w:val="00947223"/>
    <w:rsid w:val="00B66DB7"/>
    <w:rsid w:val="00BD1EA1"/>
    <w:rsid w:val="00D612F8"/>
    <w:rsid w:val="00E8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936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14"/>
    <w:rPr>
      <w:rFonts w:ascii="Tahoma" w:hAnsi="Tahoma" w:cs="Tahoma"/>
      <w:sz w:val="16"/>
      <w:szCs w:val="16"/>
    </w:rPr>
  </w:style>
  <w:style w:type="paragraph" w:styleId="Header">
    <w:name w:val="header"/>
    <w:basedOn w:val="Normal"/>
    <w:link w:val="HeaderChar"/>
    <w:uiPriority w:val="99"/>
    <w:unhideWhenUsed/>
    <w:rsid w:val="0079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614"/>
  </w:style>
  <w:style w:type="paragraph" w:styleId="Footer">
    <w:name w:val="footer"/>
    <w:basedOn w:val="Normal"/>
    <w:link w:val="FooterChar"/>
    <w:uiPriority w:val="99"/>
    <w:unhideWhenUsed/>
    <w:rsid w:val="0079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614"/>
  </w:style>
  <w:style w:type="paragraph" w:styleId="ListParagraph">
    <w:name w:val="List Paragraph"/>
    <w:basedOn w:val="Normal"/>
    <w:uiPriority w:val="34"/>
    <w:qFormat/>
    <w:rsid w:val="00793614"/>
    <w:pPr>
      <w:ind w:left="720"/>
      <w:contextualSpacing/>
    </w:pPr>
  </w:style>
  <w:style w:type="character" w:customStyle="1" w:styleId="Heading2Char">
    <w:name w:val="Heading 2 Char"/>
    <w:basedOn w:val="DefaultParagraphFont"/>
    <w:link w:val="Heading2"/>
    <w:uiPriority w:val="9"/>
    <w:rsid w:val="007936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936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14"/>
    <w:rPr>
      <w:rFonts w:ascii="Tahoma" w:hAnsi="Tahoma" w:cs="Tahoma"/>
      <w:sz w:val="16"/>
      <w:szCs w:val="16"/>
    </w:rPr>
  </w:style>
  <w:style w:type="paragraph" w:styleId="Header">
    <w:name w:val="header"/>
    <w:basedOn w:val="Normal"/>
    <w:link w:val="HeaderChar"/>
    <w:uiPriority w:val="99"/>
    <w:unhideWhenUsed/>
    <w:rsid w:val="0079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614"/>
  </w:style>
  <w:style w:type="paragraph" w:styleId="Footer">
    <w:name w:val="footer"/>
    <w:basedOn w:val="Normal"/>
    <w:link w:val="FooterChar"/>
    <w:uiPriority w:val="99"/>
    <w:unhideWhenUsed/>
    <w:rsid w:val="0079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614"/>
  </w:style>
  <w:style w:type="paragraph" w:styleId="ListParagraph">
    <w:name w:val="List Paragraph"/>
    <w:basedOn w:val="Normal"/>
    <w:uiPriority w:val="34"/>
    <w:qFormat/>
    <w:rsid w:val="00793614"/>
    <w:pPr>
      <w:ind w:left="720"/>
      <w:contextualSpacing/>
    </w:pPr>
  </w:style>
  <w:style w:type="character" w:customStyle="1" w:styleId="Heading2Char">
    <w:name w:val="Heading 2 Char"/>
    <w:basedOn w:val="DefaultParagraphFont"/>
    <w:link w:val="Heading2"/>
    <w:uiPriority w:val="9"/>
    <w:rsid w:val="007936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349">
      <w:bodyDiv w:val="1"/>
      <w:marLeft w:val="0"/>
      <w:marRight w:val="0"/>
      <w:marTop w:val="0"/>
      <w:marBottom w:val="0"/>
      <w:divBdr>
        <w:top w:val="none" w:sz="0" w:space="0" w:color="auto"/>
        <w:left w:val="none" w:sz="0" w:space="0" w:color="auto"/>
        <w:bottom w:val="none" w:sz="0" w:space="0" w:color="auto"/>
        <w:right w:val="none" w:sz="0" w:space="0" w:color="auto"/>
      </w:divBdr>
    </w:div>
    <w:div w:id="250549809">
      <w:bodyDiv w:val="1"/>
      <w:marLeft w:val="0"/>
      <w:marRight w:val="0"/>
      <w:marTop w:val="0"/>
      <w:marBottom w:val="0"/>
      <w:divBdr>
        <w:top w:val="none" w:sz="0" w:space="0" w:color="auto"/>
        <w:left w:val="none" w:sz="0" w:space="0" w:color="auto"/>
        <w:bottom w:val="none" w:sz="0" w:space="0" w:color="auto"/>
        <w:right w:val="none" w:sz="0" w:space="0" w:color="auto"/>
      </w:divBdr>
    </w:div>
    <w:div w:id="405877788">
      <w:bodyDiv w:val="1"/>
      <w:marLeft w:val="0"/>
      <w:marRight w:val="0"/>
      <w:marTop w:val="0"/>
      <w:marBottom w:val="0"/>
      <w:divBdr>
        <w:top w:val="none" w:sz="0" w:space="0" w:color="auto"/>
        <w:left w:val="none" w:sz="0" w:space="0" w:color="auto"/>
        <w:bottom w:val="none" w:sz="0" w:space="0" w:color="auto"/>
        <w:right w:val="none" w:sz="0" w:space="0" w:color="auto"/>
      </w:divBdr>
    </w:div>
    <w:div w:id="519127144">
      <w:bodyDiv w:val="1"/>
      <w:marLeft w:val="0"/>
      <w:marRight w:val="0"/>
      <w:marTop w:val="0"/>
      <w:marBottom w:val="0"/>
      <w:divBdr>
        <w:top w:val="none" w:sz="0" w:space="0" w:color="auto"/>
        <w:left w:val="none" w:sz="0" w:space="0" w:color="auto"/>
        <w:bottom w:val="none" w:sz="0" w:space="0" w:color="auto"/>
        <w:right w:val="none" w:sz="0" w:space="0" w:color="auto"/>
      </w:divBdr>
    </w:div>
    <w:div w:id="600338188">
      <w:bodyDiv w:val="1"/>
      <w:marLeft w:val="0"/>
      <w:marRight w:val="0"/>
      <w:marTop w:val="0"/>
      <w:marBottom w:val="0"/>
      <w:divBdr>
        <w:top w:val="none" w:sz="0" w:space="0" w:color="auto"/>
        <w:left w:val="none" w:sz="0" w:space="0" w:color="auto"/>
        <w:bottom w:val="none" w:sz="0" w:space="0" w:color="auto"/>
        <w:right w:val="none" w:sz="0" w:space="0" w:color="auto"/>
      </w:divBdr>
    </w:div>
    <w:div w:id="897592639">
      <w:bodyDiv w:val="1"/>
      <w:marLeft w:val="0"/>
      <w:marRight w:val="0"/>
      <w:marTop w:val="0"/>
      <w:marBottom w:val="0"/>
      <w:divBdr>
        <w:top w:val="none" w:sz="0" w:space="0" w:color="auto"/>
        <w:left w:val="none" w:sz="0" w:space="0" w:color="auto"/>
        <w:bottom w:val="none" w:sz="0" w:space="0" w:color="auto"/>
        <w:right w:val="none" w:sz="0" w:space="0" w:color="auto"/>
      </w:divBdr>
    </w:div>
    <w:div w:id="966159790">
      <w:bodyDiv w:val="1"/>
      <w:marLeft w:val="0"/>
      <w:marRight w:val="0"/>
      <w:marTop w:val="0"/>
      <w:marBottom w:val="0"/>
      <w:divBdr>
        <w:top w:val="none" w:sz="0" w:space="0" w:color="auto"/>
        <w:left w:val="none" w:sz="0" w:space="0" w:color="auto"/>
        <w:bottom w:val="none" w:sz="0" w:space="0" w:color="auto"/>
        <w:right w:val="none" w:sz="0" w:space="0" w:color="auto"/>
      </w:divBdr>
    </w:div>
    <w:div w:id="1330790779">
      <w:bodyDiv w:val="1"/>
      <w:marLeft w:val="0"/>
      <w:marRight w:val="0"/>
      <w:marTop w:val="0"/>
      <w:marBottom w:val="0"/>
      <w:divBdr>
        <w:top w:val="none" w:sz="0" w:space="0" w:color="auto"/>
        <w:left w:val="none" w:sz="0" w:space="0" w:color="auto"/>
        <w:bottom w:val="none" w:sz="0" w:space="0" w:color="auto"/>
        <w:right w:val="none" w:sz="0" w:space="0" w:color="auto"/>
      </w:divBdr>
    </w:div>
    <w:div w:id="1353415450">
      <w:bodyDiv w:val="1"/>
      <w:marLeft w:val="0"/>
      <w:marRight w:val="0"/>
      <w:marTop w:val="0"/>
      <w:marBottom w:val="0"/>
      <w:divBdr>
        <w:top w:val="none" w:sz="0" w:space="0" w:color="auto"/>
        <w:left w:val="none" w:sz="0" w:space="0" w:color="auto"/>
        <w:bottom w:val="none" w:sz="0" w:space="0" w:color="auto"/>
        <w:right w:val="none" w:sz="0" w:space="0" w:color="auto"/>
      </w:divBdr>
    </w:div>
    <w:div w:id="1730763504">
      <w:bodyDiv w:val="1"/>
      <w:marLeft w:val="0"/>
      <w:marRight w:val="0"/>
      <w:marTop w:val="0"/>
      <w:marBottom w:val="0"/>
      <w:divBdr>
        <w:top w:val="none" w:sz="0" w:space="0" w:color="auto"/>
        <w:left w:val="none" w:sz="0" w:space="0" w:color="auto"/>
        <w:bottom w:val="none" w:sz="0" w:space="0" w:color="auto"/>
        <w:right w:val="none" w:sz="0" w:space="0" w:color="auto"/>
      </w:divBdr>
    </w:div>
    <w:div w:id="21328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964</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Ciri</dc:creator>
  <cp:lastModifiedBy>Michael A Ciri</cp:lastModifiedBy>
  <cp:revision>4</cp:revision>
  <cp:lastPrinted>2015-11-10T17:54:00Z</cp:lastPrinted>
  <dcterms:created xsi:type="dcterms:W3CDTF">2015-11-10T01:12:00Z</dcterms:created>
  <dcterms:modified xsi:type="dcterms:W3CDTF">2015-11-10T18:25:00Z</dcterms:modified>
</cp:coreProperties>
</file>