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29" w:rsidRDefault="00640EEE" w:rsidP="005C4029">
      <w:bookmarkStart w:id="0" w:name="_GoBack"/>
      <w:bookmarkEnd w:id="0"/>
      <w:r>
        <w:t xml:space="preserve">In order to avoid across-the-board reductions, UAS must identify more revenue opportunities than the final funding gap.   To help brainstorm, </w:t>
      </w:r>
      <w:r w:rsidR="005C4029">
        <w:t xml:space="preserve">UAS units </w:t>
      </w:r>
      <w:r>
        <w:t>were asked to identify</w:t>
      </w:r>
      <w:r w:rsidR="005C4029">
        <w:t xml:space="preserve"> strategies </w:t>
      </w:r>
      <w:r>
        <w:t>to address</w:t>
      </w:r>
      <w:r w:rsidR="005C4029">
        <w:t xml:space="preserve"> a </w:t>
      </w:r>
      <w:r>
        <w:t xml:space="preserve">conceptual </w:t>
      </w:r>
      <w:r w:rsidR="005C4029">
        <w:t xml:space="preserve">funding shortfall of at least 10% of their FY15 </w:t>
      </w:r>
      <w:r w:rsidR="00E325B4">
        <w:t xml:space="preserve">state appropriated </w:t>
      </w:r>
      <w:r w:rsidR="005C4029">
        <w:t xml:space="preserve">general funds.  The following </w:t>
      </w:r>
      <w:r>
        <w:t>graphs illustrate this</w:t>
      </w:r>
      <w:r w:rsidR="00A07E9A">
        <w:t xml:space="preserve"> impact expressed as a percentage of the</w:t>
      </w:r>
      <w:r w:rsidR="008928C7">
        <w:t xml:space="preserve"> available </w:t>
      </w:r>
      <w:proofErr w:type="spellStart"/>
      <w:r w:rsidR="008928C7">
        <w:t>reallocatable</w:t>
      </w:r>
      <w:proofErr w:type="spellEnd"/>
      <w:r w:rsidR="008928C7">
        <w:t xml:space="preserve"> funds</w:t>
      </w:r>
      <w:r w:rsidR="00A07E9A">
        <w:t>.</w:t>
      </w:r>
    </w:p>
    <w:p w:rsidR="005C4029" w:rsidRDefault="005C4029" w:rsidP="00A07E9A">
      <w:pPr>
        <w:pStyle w:val="Heading2"/>
        <w:ind w:left="720"/>
      </w:pPr>
      <w:r>
        <w:t>By Campus</w:t>
      </w:r>
    </w:p>
    <w:p w:rsidR="005C4029" w:rsidRDefault="008102E9" w:rsidP="00A07E9A">
      <w:pPr>
        <w:ind w:left="720"/>
      </w:pPr>
      <w:r>
        <w:rPr>
          <w:noProof/>
        </w:rPr>
        <w:drawing>
          <wp:inline distT="0" distB="0" distL="0" distR="0" wp14:anchorId="7D2741D0" wp14:editId="6614B85A">
            <wp:extent cx="5212080" cy="2194560"/>
            <wp:effectExtent l="0" t="0" r="2667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4029" w:rsidRDefault="005C4029" w:rsidP="00A07E9A">
      <w:pPr>
        <w:pStyle w:val="Heading2"/>
        <w:ind w:left="720"/>
      </w:pPr>
      <w:r>
        <w:t>Juneau Campus</w:t>
      </w:r>
    </w:p>
    <w:p w:rsidR="005C4029" w:rsidRDefault="008102E9" w:rsidP="00A07E9A">
      <w:pPr>
        <w:ind w:left="720"/>
      </w:pPr>
      <w:r>
        <w:rPr>
          <w:noProof/>
        </w:rPr>
        <w:drawing>
          <wp:inline distT="0" distB="0" distL="0" distR="0" wp14:anchorId="43F15533" wp14:editId="1C5E4CB6">
            <wp:extent cx="5212080" cy="2194560"/>
            <wp:effectExtent l="0" t="0" r="2667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4029" w:rsidRDefault="00354818" w:rsidP="00A07E9A">
      <w:pPr>
        <w:pStyle w:val="Heading2"/>
        <w:ind w:left="720"/>
      </w:pPr>
      <w:r>
        <w:t>Academics</w:t>
      </w:r>
    </w:p>
    <w:p w:rsidR="00205CD9" w:rsidRDefault="008102E9" w:rsidP="00A07E9A">
      <w:pPr>
        <w:ind w:left="720"/>
      </w:pPr>
      <w:r>
        <w:rPr>
          <w:noProof/>
        </w:rPr>
        <w:drawing>
          <wp:inline distT="0" distB="0" distL="0" distR="0" wp14:anchorId="68B1AB05" wp14:editId="02FAD4E8">
            <wp:extent cx="5212080" cy="2194560"/>
            <wp:effectExtent l="0" t="0" r="26670" b="1524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05CD9" w:rsidSect="008102E9">
      <w:headerReference w:type="default" r:id="rId10"/>
      <w:pgSz w:w="12240" w:h="15840"/>
      <w:pgMar w:top="96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18" w:rsidRDefault="00354818" w:rsidP="00A07E9A">
      <w:pPr>
        <w:spacing w:after="0" w:line="240" w:lineRule="auto"/>
      </w:pPr>
      <w:r>
        <w:separator/>
      </w:r>
    </w:p>
  </w:endnote>
  <w:endnote w:type="continuationSeparator" w:id="0">
    <w:p w:rsidR="00354818" w:rsidRDefault="00354818" w:rsidP="00A0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18" w:rsidRDefault="00354818" w:rsidP="00A07E9A">
      <w:pPr>
        <w:spacing w:after="0" w:line="240" w:lineRule="auto"/>
      </w:pPr>
      <w:r>
        <w:separator/>
      </w:r>
    </w:p>
  </w:footnote>
  <w:footnote w:type="continuationSeparator" w:id="0">
    <w:p w:rsidR="00354818" w:rsidRDefault="00354818" w:rsidP="00A0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18" w:rsidRDefault="00354818" w:rsidP="008102E9">
    <w:pPr>
      <w:pStyle w:val="Title"/>
      <w:spacing w:after="0"/>
    </w:pPr>
    <w:r>
      <w:t xml:space="preserve">UAS Reduction Planning </w:t>
    </w:r>
    <w:r w:rsidR="00640EEE">
      <w:t>Data</w:t>
    </w:r>
  </w:p>
  <w:p w:rsidR="00354818" w:rsidRPr="008102E9" w:rsidRDefault="00354818" w:rsidP="00A07E9A">
    <w:pPr>
      <w:pStyle w:val="Title"/>
      <w:spacing w:after="0"/>
      <w:rPr>
        <w:sz w:val="44"/>
      </w:rPr>
    </w:pPr>
    <w:r w:rsidRPr="008102E9">
      <w:rPr>
        <w:sz w:val="36"/>
      </w:rPr>
      <w:t xml:space="preserve">(% of total </w:t>
    </w:r>
    <w:proofErr w:type="spellStart"/>
    <w:r w:rsidRPr="008102E9">
      <w:rPr>
        <w:sz w:val="36"/>
      </w:rPr>
      <w:t>reallocatable</w:t>
    </w:r>
    <w:proofErr w:type="spellEnd"/>
    <w:r w:rsidRPr="008102E9">
      <w:rPr>
        <w:sz w:val="36"/>
      </w:rPr>
      <w:t xml:space="preserve"> budgets)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29"/>
    <w:rsid w:val="001479A6"/>
    <w:rsid w:val="00205CD9"/>
    <w:rsid w:val="00244516"/>
    <w:rsid w:val="00354818"/>
    <w:rsid w:val="005C4029"/>
    <w:rsid w:val="00640EEE"/>
    <w:rsid w:val="008102E9"/>
    <w:rsid w:val="008928C7"/>
    <w:rsid w:val="00A07E9A"/>
    <w:rsid w:val="00C53A0D"/>
    <w:rsid w:val="00D90EF9"/>
    <w:rsid w:val="00E3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4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9A"/>
  </w:style>
  <w:style w:type="paragraph" w:styleId="Footer">
    <w:name w:val="footer"/>
    <w:basedOn w:val="Normal"/>
    <w:link w:val="FooterChar"/>
    <w:uiPriority w:val="99"/>
    <w:unhideWhenUsed/>
    <w:rsid w:val="00A0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9A"/>
  </w:style>
  <w:style w:type="paragraph" w:styleId="Title">
    <w:name w:val="Title"/>
    <w:basedOn w:val="Normal"/>
    <w:next w:val="Normal"/>
    <w:link w:val="TitleChar"/>
    <w:uiPriority w:val="10"/>
    <w:qFormat/>
    <w:rsid w:val="00A07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7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4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9A"/>
  </w:style>
  <w:style w:type="paragraph" w:styleId="Footer">
    <w:name w:val="footer"/>
    <w:basedOn w:val="Normal"/>
    <w:link w:val="FooterChar"/>
    <w:uiPriority w:val="99"/>
    <w:unhideWhenUsed/>
    <w:rsid w:val="00A0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9A"/>
  </w:style>
  <w:style w:type="paragraph" w:styleId="Title">
    <w:name w:val="Title"/>
    <w:basedOn w:val="Normal"/>
    <w:next w:val="Normal"/>
    <w:link w:val="TitleChar"/>
    <w:uiPriority w:val="10"/>
    <w:qFormat/>
    <w:rsid w:val="00A07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7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ync-al\files$\JV-880586\maciri\My%20Documents\VC\FY15%20Auth%20Budget%20-%20UNRESTR%20GF%20(2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ync-al\files$\JV-880586\maciri\My%20Documents\VC\FY15%20Auth%20Budget%20-%20UNRESTR%20GF%20(2)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sync-al\files$\JV-880586\maciri\My%20Documents\VC\FY15%20Auth%20Budget%20-%20UNRESTR%20GF%20(2)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Sheet2!$I$3:$I$5</c:f>
              <c:strCache>
                <c:ptCount val="3"/>
                <c:pt idx="0">
                  <c:v>Juneau</c:v>
                </c:pt>
                <c:pt idx="1">
                  <c:v>Ketchikan</c:v>
                </c:pt>
                <c:pt idx="2">
                  <c:v>Sitka</c:v>
                </c:pt>
              </c:strCache>
            </c:strRef>
          </c:cat>
          <c:val>
            <c:numRef>
              <c:f>Sheet2!$M$3:$M$5</c:f>
              <c:numCache>
                <c:formatCode>0.0%</c:formatCode>
                <c:ptCount val="3"/>
                <c:pt idx="0">
                  <c:v>7.3482608848505382E-2</c:v>
                </c:pt>
                <c:pt idx="1">
                  <c:v>6.689656801379408E-2</c:v>
                </c:pt>
                <c:pt idx="2">
                  <c:v>6.6060025542784159E-2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181248"/>
        <c:axId val="28182400"/>
      </c:barChart>
      <c:catAx>
        <c:axId val="28181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en-US"/>
          </a:p>
        </c:txPr>
        <c:crossAx val="28182400"/>
        <c:crosses val="autoZero"/>
        <c:auto val="1"/>
        <c:lblAlgn val="ctr"/>
        <c:lblOffset val="100"/>
        <c:noMultiLvlLbl val="0"/>
      </c:catAx>
      <c:valAx>
        <c:axId val="28182400"/>
        <c:scaling>
          <c:orientation val="minMax"/>
          <c:max val="0.1"/>
          <c:min val="0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81812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Sheet2!$I$7:$I$10</c:f>
              <c:strCache>
                <c:ptCount val="4"/>
                <c:pt idx="0">
                  <c:v>Chancellor</c:v>
                </c:pt>
                <c:pt idx="1">
                  <c:v>Administration</c:v>
                </c:pt>
                <c:pt idx="2">
                  <c:v>Student Services</c:v>
                </c:pt>
                <c:pt idx="3">
                  <c:v>Academics</c:v>
                </c:pt>
              </c:strCache>
            </c:strRef>
          </c:cat>
          <c:val>
            <c:numRef>
              <c:f>Sheet2!$M$7:$M$10</c:f>
              <c:numCache>
                <c:formatCode>0.0%</c:formatCode>
                <c:ptCount val="4"/>
                <c:pt idx="0">
                  <c:v>9.6018512648196289E-2</c:v>
                </c:pt>
                <c:pt idx="1">
                  <c:v>9.4956687870432696E-2</c:v>
                </c:pt>
                <c:pt idx="2">
                  <c:v>7.5483837084110189E-2</c:v>
                </c:pt>
                <c:pt idx="3">
                  <c:v>5.9044532181435842E-2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90"/>
        <c:axId val="28201728"/>
        <c:axId val="28204416"/>
      </c:barChart>
      <c:catAx>
        <c:axId val="28201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en-US"/>
          </a:p>
        </c:txPr>
        <c:crossAx val="28204416"/>
        <c:crosses val="autoZero"/>
        <c:auto val="1"/>
        <c:lblAlgn val="ctr"/>
        <c:lblOffset val="100"/>
        <c:noMultiLvlLbl val="0"/>
      </c:catAx>
      <c:valAx>
        <c:axId val="28204416"/>
        <c:scaling>
          <c:orientation val="minMax"/>
          <c:max val="0.1"/>
          <c:min val="0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82017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Sheet2!$I$13:$I$18</c:f>
              <c:strCache>
                <c:ptCount val="6"/>
                <c:pt idx="0">
                  <c:v>Library</c:v>
                </c:pt>
                <c:pt idx="1">
                  <c:v>Career Education</c:v>
                </c:pt>
                <c:pt idx="2">
                  <c:v>Academic Affairs </c:v>
                </c:pt>
                <c:pt idx="3">
                  <c:v>Liberal Arts &amp; Sciences</c:v>
                </c:pt>
                <c:pt idx="4">
                  <c:v>Management</c:v>
                </c:pt>
                <c:pt idx="5">
                  <c:v>Education</c:v>
                </c:pt>
              </c:strCache>
            </c:strRef>
          </c:cat>
          <c:val>
            <c:numRef>
              <c:f>Sheet2!$M$13:$M$18</c:f>
              <c:numCache>
                <c:formatCode>0.0%</c:formatCode>
                <c:ptCount val="6"/>
                <c:pt idx="0">
                  <c:v>9.2973986141088261E-2</c:v>
                </c:pt>
                <c:pt idx="1">
                  <c:v>7.5852822880977222E-2</c:v>
                </c:pt>
                <c:pt idx="2">
                  <c:v>7.2936400541271984E-2</c:v>
                </c:pt>
                <c:pt idx="3">
                  <c:v>5.8751713782072217E-2</c:v>
                </c:pt>
                <c:pt idx="4">
                  <c:v>4.686959654178674E-2</c:v>
                </c:pt>
                <c:pt idx="5">
                  <c:v>4.0332458442694674E-2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90"/>
        <c:axId val="28231552"/>
        <c:axId val="28242688"/>
      </c:barChart>
      <c:catAx>
        <c:axId val="28231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n-US"/>
          </a:p>
        </c:txPr>
        <c:crossAx val="28242688"/>
        <c:crosses val="autoZero"/>
        <c:auto val="1"/>
        <c:lblAlgn val="ctr"/>
        <c:lblOffset val="100"/>
        <c:noMultiLvlLbl val="0"/>
      </c:catAx>
      <c:valAx>
        <c:axId val="28242688"/>
        <c:scaling>
          <c:orientation val="minMax"/>
          <c:max val="0.1"/>
          <c:min val="0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82315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 Ciri</dc:creator>
  <cp:lastModifiedBy>Richard Caulfield</cp:lastModifiedBy>
  <cp:revision>2</cp:revision>
  <cp:lastPrinted>2015-03-05T21:09:00Z</cp:lastPrinted>
  <dcterms:created xsi:type="dcterms:W3CDTF">2015-03-06T22:40:00Z</dcterms:created>
  <dcterms:modified xsi:type="dcterms:W3CDTF">2015-03-06T22:40:00Z</dcterms:modified>
</cp:coreProperties>
</file>